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A18" w:rsidRPr="005267D4" w:rsidRDefault="0064367D" w:rsidP="00CA18D5">
      <w:pPr>
        <w:pStyle w:val="Title"/>
      </w:pPr>
      <w:bookmarkStart w:id="0" w:name="_GoBack"/>
      <w:bookmarkEnd w:id="0"/>
      <w:r>
        <w:t>Guidance for Voluntary</w:t>
      </w:r>
      <w:r w:rsidR="009B3505">
        <w:t xml:space="preserve"> Greenhouse Gas Reporting</w:t>
      </w:r>
      <w:r w:rsidR="001E13CD">
        <w:t xml:space="preserve"> </w:t>
      </w:r>
      <w:r w:rsidR="001E1F7D">
        <w:t>–</w:t>
      </w:r>
      <w:r w:rsidR="00F41362">
        <w:t xml:space="preserve"> 201</w:t>
      </w:r>
      <w:r w:rsidR="00580E3F">
        <w:t>6</w:t>
      </w:r>
    </w:p>
    <w:p w:rsidR="00725A18" w:rsidRPr="005267D4" w:rsidRDefault="00ED3BC1" w:rsidP="00CA18D5">
      <w:pPr>
        <w:pStyle w:val="Subtitle"/>
      </w:pPr>
      <w:r>
        <w:t xml:space="preserve">Using </w:t>
      </w:r>
      <w:r w:rsidR="009B3505">
        <w:t>Data and Methods f</w:t>
      </w:r>
      <w:r w:rsidR="00591C4D">
        <w:t>rom</w:t>
      </w:r>
      <w:r w:rsidR="009B3505">
        <w:t xml:space="preserve"> the </w:t>
      </w:r>
      <w:r w:rsidR="002F5CCC">
        <w:br/>
      </w:r>
      <w:r w:rsidR="001B089A">
        <w:t>201</w:t>
      </w:r>
      <w:r w:rsidR="00580E3F">
        <w:t>4</w:t>
      </w:r>
      <w:r w:rsidR="001B089A">
        <w:t xml:space="preserve"> </w:t>
      </w:r>
      <w:r w:rsidR="009B3505">
        <w:t>Calendar Year</w:t>
      </w:r>
    </w:p>
    <w:p w:rsidR="00725A18" w:rsidRPr="005267D4" w:rsidRDefault="00725A18" w:rsidP="00725A18"/>
    <w:p w:rsidR="00725A18" w:rsidRPr="005267D4" w:rsidRDefault="00725A18" w:rsidP="00725A18">
      <w:pPr>
        <w:sectPr w:rsidR="00725A18" w:rsidRPr="005267D4" w:rsidSect="00CE3725">
          <w:headerReference w:type="default" r:id="rId9"/>
          <w:footerReference w:type="default" r:id="rId10"/>
          <w:pgSz w:w="11907" w:h="16840" w:code="9"/>
          <w:pgMar w:top="5670" w:right="1418" w:bottom="1701" w:left="1418" w:header="567" w:footer="1134" w:gutter="0"/>
          <w:cols w:space="720"/>
        </w:sectPr>
      </w:pPr>
    </w:p>
    <w:p w:rsidR="00C016FB" w:rsidRPr="005267D4" w:rsidRDefault="00C016FB" w:rsidP="00A57D42">
      <w:pPr>
        <w:pStyle w:val="Imprint"/>
      </w:pPr>
      <w:r w:rsidRPr="005267D4">
        <w:lastRenderedPageBreak/>
        <w:t>This report may be cited as:</w:t>
      </w:r>
    </w:p>
    <w:p w:rsidR="00A93B1C" w:rsidRDefault="00BC4C7D" w:rsidP="00A93B1C">
      <w:pPr>
        <w:pStyle w:val="Imprint"/>
      </w:pPr>
      <w:r>
        <w:t>Ministry for the Environment</w:t>
      </w:r>
      <w:r w:rsidR="00C016FB" w:rsidRPr="005267D4">
        <w:t xml:space="preserve">. </w:t>
      </w:r>
      <w:r w:rsidR="0064367D">
        <w:rPr>
          <w:i/>
        </w:rPr>
        <w:t>Guidance for Voluntary</w:t>
      </w:r>
      <w:r>
        <w:rPr>
          <w:i/>
        </w:rPr>
        <w:t xml:space="preserve"> Greenhouse Gas Reporting</w:t>
      </w:r>
      <w:r w:rsidR="001E1F7D">
        <w:rPr>
          <w:i/>
        </w:rPr>
        <w:t xml:space="preserve"> –</w:t>
      </w:r>
      <w:r w:rsidR="001E13CD">
        <w:rPr>
          <w:i/>
        </w:rPr>
        <w:t xml:space="preserve"> 201</w:t>
      </w:r>
      <w:r w:rsidR="00580E3F">
        <w:rPr>
          <w:i/>
        </w:rPr>
        <w:t>6</w:t>
      </w:r>
      <w:r>
        <w:rPr>
          <w:i/>
        </w:rPr>
        <w:t xml:space="preserve">: </w:t>
      </w:r>
      <w:r w:rsidR="00ED3BC1">
        <w:rPr>
          <w:i/>
        </w:rPr>
        <w:t xml:space="preserve">Using </w:t>
      </w:r>
      <w:r>
        <w:rPr>
          <w:i/>
        </w:rPr>
        <w:t xml:space="preserve">Data and </w:t>
      </w:r>
      <w:r w:rsidR="00DA754A">
        <w:rPr>
          <w:i/>
        </w:rPr>
        <w:t xml:space="preserve">Methods </w:t>
      </w:r>
      <w:r>
        <w:rPr>
          <w:i/>
        </w:rPr>
        <w:t>f</w:t>
      </w:r>
      <w:r w:rsidR="00591C4D">
        <w:rPr>
          <w:i/>
        </w:rPr>
        <w:t>rom</w:t>
      </w:r>
      <w:r>
        <w:rPr>
          <w:i/>
        </w:rPr>
        <w:t xml:space="preserve"> </w:t>
      </w:r>
      <w:r w:rsidR="00591C4D">
        <w:rPr>
          <w:i/>
        </w:rPr>
        <w:t xml:space="preserve">the </w:t>
      </w:r>
      <w:r>
        <w:rPr>
          <w:i/>
        </w:rPr>
        <w:t>20</w:t>
      </w:r>
      <w:r w:rsidR="0096671E">
        <w:rPr>
          <w:i/>
        </w:rPr>
        <w:t>1</w:t>
      </w:r>
      <w:r w:rsidR="00580E3F">
        <w:rPr>
          <w:i/>
        </w:rPr>
        <w:t>4</w:t>
      </w:r>
      <w:r>
        <w:rPr>
          <w:i/>
        </w:rPr>
        <w:t xml:space="preserve"> </w:t>
      </w:r>
      <w:r w:rsidR="00DA754A">
        <w:rPr>
          <w:i/>
        </w:rPr>
        <w:t>Calendar Year</w:t>
      </w:r>
      <w:r>
        <w:rPr>
          <w:i/>
        </w:rPr>
        <w:t>.</w:t>
      </w:r>
      <w:r w:rsidR="00C016FB" w:rsidRPr="005267D4">
        <w:t xml:space="preserve"> Wellington: Ministry for the Environment.</w:t>
      </w:r>
    </w:p>
    <w:p w:rsidR="00A93B1C" w:rsidRDefault="00A93B1C" w:rsidP="00A93B1C">
      <w:pPr>
        <w:pStyle w:val="Imprint"/>
      </w:pPr>
    </w:p>
    <w:p w:rsidR="00A93B1C" w:rsidRDefault="00A93B1C" w:rsidP="00A93B1C">
      <w:pPr>
        <w:pStyle w:val="Imprint"/>
      </w:pPr>
    </w:p>
    <w:p w:rsidR="00A93B1C" w:rsidRDefault="00A93B1C" w:rsidP="00A93B1C">
      <w:pPr>
        <w:pStyle w:val="Imprint"/>
      </w:pPr>
    </w:p>
    <w:p w:rsidR="00A93B1C" w:rsidRDefault="00A93B1C" w:rsidP="00A93B1C">
      <w:pPr>
        <w:pStyle w:val="Imprint"/>
      </w:pPr>
    </w:p>
    <w:p w:rsidR="00A93B1C" w:rsidRDefault="00A93B1C" w:rsidP="00A93B1C">
      <w:pPr>
        <w:pStyle w:val="Imprint"/>
      </w:pPr>
    </w:p>
    <w:p w:rsidR="00A93B1C" w:rsidRDefault="00A93B1C" w:rsidP="00A93B1C">
      <w:pPr>
        <w:pStyle w:val="Imprint"/>
      </w:pPr>
    </w:p>
    <w:p w:rsidR="00A93B1C" w:rsidRDefault="00A93B1C" w:rsidP="00A93B1C">
      <w:pPr>
        <w:pStyle w:val="Imprint"/>
      </w:pPr>
    </w:p>
    <w:p w:rsidR="00A93B1C" w:rsidRDefault="00A93B1C" w:rsidP="00A93B1C">
      <w:pPr>
        <w:pStyle w:val="Imprint"/>
      </w:pPr>
    </w:p>
    <w:p w:rsidR="00A93B1C" w:rsidRDefault="00A93B1C" w:rsidP="00A93B1C">
      <w:pPr>
        <w:pStyle w:val="Imprint"/>
      </w:pPr>
    </w:p>
    <w:p w:rsidR="00A93B1C" w:rsidRDefault="00A93B1C" w:rsidP="00A93B1C">
      <w:pPr>
        <w:pStyle w:val="Imprint"/>
      </w:pPr>
    </w:p>
    <w:p w:rsidR="00A93B1C" w:rsidRDefault="00A93B1C" w:rsidP="00A93B1C">
      <w:pPr>
        <w:pStyle w:val="Imprint"/>
      </w:pPr>
    </w:p>
    <w:p w:rsidR="00A93B1C" w:rsidRDefault="00A93B1C" w:rsidP="00A93B1C">
      <w:pPr>
        <w:pStyle w:val="Imprint"/>
      </w:pPr>
    </w:p>
    <w:p w:rsidR="00A93B1C" w:rsidRDefault="00A93B1C" w:rsidP="00A93B1C">
      <w:pPr>
        <w:pStyle w:val="Imprint"/>
      </w:pPr>
    </w:p>
    <w:p w:rsidR="00A93B1C" w:rsidRDefault="00A93B1C" w:rsidP="00A93B1C">
      <w:pPr>
        <w:pStyle w:val="Imprint"/>
      </w:pPr>
    </w:p>
    <w:p w:rsidR="008E0349" w:rsidRDefault="008E0349" w:rsidP="00A93B1C">
      <w:pPr>
        <w:pStyle w:val="Imprint"/>
      </w:pPr>
    </w:p>
    <w:p w:rsidR="008E0349" w:rsidRDefault="008E0349" w:rsidP="00A93B1C">
      <w:pPr>
        <w:pStyle w:val="Imprint"/>
      </w:pPr>
    </w:p>
    <w:p w:rsidR="008E0349" w:rsidRDefault="008E0349" w:rsidP="00A93B1C">
      <w:pPr>
        <w:pStyle w:val="Imprint"/>
      </w:pPr>
    </w:p>
    <w:p w:rsidR="008E0349" w:rsidRDefault="008E0349" w:rsidP="00A93B1C">
      <w:pPr>
        <w:pStyle w:val="Imprint"/>
      </w:pPr>
    </w:p>
    <w:p w:rsidR="00A93B1C" w:rsidRDefault="00A93B1C" w:rsidP="00A93B1C">
      <w:pPr>
        <w:pStyle w:val="Imprint"/>
      </w:pPr>
    </w:p>
    <w:p w:rsidR="00A93B1C" w:rsidRDefault="00A93B1C" w:rsidP="00A93B1C">
      <w:pPr>
        <w:pStyle w:val="Imprint"/>
      </w:pPr>
    </w:p>
    <w:p w:rsidR="00A93B1C" w:rsidRDefault="00A93B1C" w:rsidP="00A93B1C">
      <w:pPr>
        <w:pStyle w:val="Imprint"/>
      </w:pPr>
    </w:p>
    <w:p w:rsidR="008E0349" w:rsidRDefault="008E0349" w:rsidP="00A93B1C">
      <w:pPr>
        <w:pStyle w:val="Imprint"/>
      </w:pPr>
    </w:p>
    <w:p w:rsidR="008E0349" w:rsidRDefault="008E0349" w:rsidP="00A93B1C">
      <w:pPr>
        <w:pStyle w:val="Imprint"/>
      </w:pPr>
    </w:p>
    <w:p w:rsidR="008E0349" w:rsidRDefault="008E0349" w:rsidP="00A93B1C">
      <w:pPr>
        <w:pStyle w:val="Imprint"/>
      </w:pPr>
    </w:p>
    <w:p w:rsidR="008E0349" w:rsidRDefault="008E0349" w:rsidP="00A93B1C">
      <w:pPr>
        <w:pStyle w:val="Imprint"/>
      </w:pPr>
    </w:p>
    <w:p w:rsidR="008E0349" w:rsidRDefault="008E0349" w:rsidP="00A93B1C">
      <w:pPr>
        <w:pStyle w:val="Imprint"/>
      </w:pPr>
    </w:p>
    <w:p w:rsidR="008E0349" w:rsidRDefault="008E0349" w:rsidP="00A93B1C">
      <w:pPr>
        <w:pStyle w:val="Imprint"/>
      </w:pPr>
    </w:p>
    <w:p w:rsidR="008E0349" w:rsidRDefault="008E0349" w:rsidP="00A93B1C">
      <w:pPr>
        <w:pStyle w:val="Imprint"/>
      </w:pPr>
    </w:p>
    <w:p w:rsidR="008E0349" w:rsidRDefault="008E0349" w:rsidP="00A93B1C">
      <w:pPr>
        <w:pStyle w:val="Imprint"/>
      </w:pPr>
    </w:p>
    <w:p w:rsidR="00A93B1C" w:rsidRDefault="00A93B1C" w:rsidP="00A93B1C">
      <w:pPr>
        <w:pStyle w:val="Imprint"/>
      </w:pPr>
    </w:p>
    <w:p w:rsidR="00A93B1C" w:rsidRDefault="00A93B1C" w:rsidP="00A93B1C">
      <w:pPr>
        <w:pStyle w:val="Imprint"/>
      </w:pPr>
    </w:p>
    <w:p w:rsidR="00FB063A" w:rsidRDefault="00FB063A" w:rsidP="00A93B1C">
      <w:pPr>
        <w:pStyle w:val="Imprint"/>
      </w:pPr>
      <w:r>
        <w:t xml:space="preserve">Published in </w:t>
      </w:r>
      <w:r w:rsidR="00B54B92" w:rsidRPr="0037410C">
        <w:t>December</w:t>
      </w:r>
      <w:r w:rsidR="002C2D20" w:rsidRPr="0037410C">
        <w:t xml:space="preserve"> </w:t>
      </w:r>
      <w:r w:rsidR="001B089A" w:rsidRPr="0037410C">
        <w:t>201</w:t>
      </w:r>
      <w:r w:rsidR="00B54B92" w:rsidRPr="0037410C">
        <w:t>6</w:t>
      </w:r>
      <w:r w:rsidR="001B089A">
        <w:t xml:space="preserve"> </w:t>
      </w:r>
      <w:r>
        <w:t>by the</w:t>
      </w:r>
      <w:r>
        <w:br/>
        <w:t>Ministry for the Environment</w:t>
      </w:r>
      <w:r>
        <w:br/>
      </w:r>
      <w:proofErr w:type="spellStart"/>
      <w:r>
        <w:t>Manatū</w:t>
      </w:r>
      <w:proofErr w:type="spellEnd"/>
      <w:r>
        <w:t xml:space="preserve"> </w:t>
      </w:r>
      <w:proofErr w:type="spellStart"/>
      <w:r>
        <w:t>Mō</w:t>
      </w:r>
      <w:proofErr w:type="spellEnd"/>
      <w:r>
        <w:t xml:space="preserve"> </w:t>
      </w:r>
      <w:proofErr w:type="spellStart"/>
      <w:r>
        <w:t>Te</w:t>
      </w:r>
      <w:proofErr w:type="spellEnd"/>
      <w:r>
        <w:t xml:space="preserve"> </w:t>
      </w:r>
      <w:proofErr w:type="spellStart"/>
      <w:r>
        <w:t>Taiao</w:t>
      </w:r>
      <w:proofErr w:type="spellEnd"/>
      <w:r>
        <w:br/>
        <w:t>PO Box 10362, Wellington 6143, New Zealand</w:t>
      </w:r>
    </w:p>
    <w:p w:rsidR="00A93B1C" w:rsidRDefault="00A93B1C" w:rsidP="00A93B1C">
      <w:pPr>
        <w:pStyle w:val="Imprint"/>
      </w:pPr>
    </w:p>
    <w:p w:rsidR="009F3F07" w:rsidRPr="00E03409" w:rsidRDefault="009F3F07" w:rsidP="009F3F07">
      <w:pPr>
        <w:pStyle w:val="Imprint"/>
        <w:tabs>
          <w:tab w:val="left" w:pos="720"/>
        </w:tabs>
        <w:spacing w:before="240"/>
        <w:ind w:left="720" w:hanging="720"/>
      </w:pPr>
      <w:r w:rsidRPr="00E03409">
        <w:t xml:space="preserve">ISSN: </w:t>
      </w:r>
      <w:r w:rsidRPr="00E03409">
        <w:rPr>
          <w:rFonts w:cs="Arial"/>
          <w:bCs/>
          <w:szCs w:val="22"/>
          <w:lang w:val="en-AU"/>
        </w:rPr>
        <w:t>1174-8281</w:t>
      </w:r>
    </w:p>
    <w:p w:rsidR="00873663" w:rsidRDefault="009F3F07" w:rsidP="008E0349">
      <w:pPr>
        <w:pStyle w:val="Imprint"/>
      </w:pPr>
      <w:r w:rsidRPr="00E03409">
        <w:t xml:space="preserve">Publication number: ME </w:t>
      </w:r>
      <w:r w:rsidR="00E03409" w:rsidRPr="00E03409">
        <w:t>1281</w:t>
      </w:r>
    </w:p>
    <w:p w:rsidR="00FB063A" w:rsidRDefault="00FB063A" w:rsidP="00FB063A">
      <w:pPr>
        <w:pStyle w:val="Imprint"/>
        <w:spacing w:before="240"/>
      </w:pPr>
      <w:r>
        <w:t xml:space="preserve">© Crown copyright New Zealand </w:t>
      </w:r>
      <w:r w:rsidR="001B089A" w:rsidRPr="0037410C">
        <w:t>201</w:t>
      </w:r>
      <w:r w:rsidR="00B54B92" w:rsidRPr="0037410C">
        <w:t>6</w:t>
      </w:r>
    </w:p>
    <w:p w:rsidR="00FB063A" w:rsidRPr="00040D69" w:rsidRDefault="00FB063A" w:rsidP="00FB063A">
      <w:pPr>
        <w:pStyle w:val="Imprint"/>
        <w:spacing w:before="240"/>
        <w:rPr>
          <w:color w:val="000000"/>
        </w:rPr>
      </w:pPr>
      <w:r>
        <w:t>This document is available on the Ministry for the Environment’s website:</w:t>
      </w:r>
      <w:r>
        <w:br/>
      </w:r>
      <w:hyperlink r:id="rId11" w:history="1">
        <w:r w:rsidRPr="00040D69">
          <w:rPr>
            <w:rStyle w:val="Hyperlink"/>
            <w:color w:val="000000"/>
          </w:rPr>
          <w:t>www.mfe.govt.nz</w:t>
        </w:r>
      </w:hyperlink>
      <w:r w:rsidR="00981B30">
        <w:rPr>
          <w:rStyle w:val="Hyperlink"/>
          <w:color w:val="000000"/>
        </w:rPr>
        <w:t>.</w:t>
      </w:r>
    </w:p>
    <w:p w:rsidR="00FB063A" w:rsidRDefault="000843C5" w:rsidP="00FB063A">
      <w:pPr>
        <w:spacing w:before="240"/>
        <w:jc w:val="left"/>
      </w:pPr>
      <w:r>
        <w:rPr>
          <w:noProof/>
          <w:lang w:eastAsia="en-NZ"/>
        </w:rPr>
        <w:drawing>
          <wp:inline distT="0" distB="0" distL="0" distR="0" wp14:anchorId="4DCA5BDA" wp14:editId="6732A32B">
            <wp:extent cx="1970405" cy="623570"/>
            <wp:effectExtent l="19050" t="0" r="0" b="0"/>
            <wp:docPr id="1" name="Picture 1" descr="BW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_Logo"/>
                    <pic:cNvPicPr>
                      <a:picLocks noChangeAspect="1" noChangeArrowheads="1"/>
                    </pic:cNvPicPr>
                  </pic:nvPicPr>
                  <pic:blipFill>
                    <a:blip r:embed="rId12" cstate="print"/>
                    <a:srcRect/>
                    <a:stretch>
                      <a:fillRect/>
                    </a:stretch>
                  </pic:blipFill>
                  <pic:spPr bwMode="auto">
                    <a:xfrm>
                      <a:off x="0" y="0"/>
                      <a:ext cx="1970405" cy="623570"/>
                    </a:xfrm>
                    <a:prstGeom prst="rect">
                      <a:avLst/>
                    </a:prstGeom>
                    <a:noFill/>
                    <a:ln w="9525">
                      <a:noFill/>
                      <a:miter lim="800000"/>
                      <a:headEnd/>
                      <a:tailEnd/>
                    </a:ln>
                  </pic:spPr>
                </pic:pic>
              </a:graphicData>
            </a:graphic>
          </wp:inline>
        </w:drawing>
      </w:r>
    </w:p>
    <w:p w:rsidR="00FB063A" w:rsidRDefault="00FB063A" w:rsidP="00FB063A">
      <w:pPr>
        <w:jc w:val="left"/>
        <w:sectPr w:rsidR="00FB063A">
          <w:pgSz w:w="11907" w:h="16840"/>
          <w:pgMar w:top="1701" w:right="1418" w:bottom="1701" w:left="1418" w:header="567" w:footer="567" w:gutter="567"/>
          <w:pgNumType w:fmt="lowerRoman"/>
          <w:cols w:space="720"/>
        </w:sectPr>
      </w:pPr>
    </w:p>
    <w:p w:rsidR="00EC1311" w:rsidRPr="00EF66D5" w:rsidRDefault="009E3385" w:rsidP="00852B36">
      <w:r w:rsidRPr="000F1882">
        <w:lastRenderedPageBreak/>
        <w:t xml:space="preserve">This is the </w:t>
      </w:r>
      <w:r w:rsidR="00580E3F">
        <w:t>n</w:t>
      </w:r>
      <w:r w:rsidR="00840EA6">
        <w:t>inth</w:t>
      </w:r>
      <w:r w:rsidR="00580E3F">
        <w:t xml:space="preserve"> </w:t>
      </w:r>
      <w:r w:rsidRPr="000F1882">
        <w:t>version of an annual publication.</w:t>
      </w:r>
      <w:r w:rsidR="00EF66D5">
        <w:t xml:space="preserve"> </w:t>
      </w:r>
      <w:r w:rsidRPr="003A281F">
        <w:t xml:space="preserve">Each year the Ministry for the Environment will update this guide </w:t>
      </w:r>
      <w:r w:rsidR="0096671E">
        <w:t xml:space="preserve">and associated tables </w:t>
      </w:r>
      <w:r w:rsidRPr="003A281F">
        <w:t>with the latest emission factors for the given calendar year.</w:t>
      </w:r>
    </w:p>
    <w:p w:rsidR="009E3385" w:rsidRPr="000F1882" w:rsidRDefault="009E3385" w:rsidP="00852B36"/>
    <w:p w:rsidR="009E3385" w:rsidRPr="000F1882" w:rsidRDefault="009E3385" w:rsidP="00933CCF">
      <w:pPr>
        <w:pStyle w:val="BoxHeading"/>
        <w:spacing w:before="0"/>
      </w:pPr>
      <w:bookmarkStart w:id="1" w:name="_Toc209932971"/>
      <w:r w:rsidRPr="000F1882">
        <w:t xml:space="preserve">Changes to data and methodology for </w:t>
      </w:r>
      <w:r w:rsidR="004D3C65">
        <w:t>the 201</w:t>
      </w:r>
      <w:r w:rsidR="00840EA6">
        <w:t>6</w:t>
      </w:r>
      <w:r w:rsidR="004D3C65">
        <w:t xml:space="preserve"> guidance</w:t>
      </w:r>
      <w:bookmarkEnd w:id="1"/>
    </w:p>
    <w:p w:rsidR="005673CF" w:rsidRDefault="00E23D9B" w:rsidP="00933CCF">
      <w:pPr>
        <w:pStyle w:val="BoxHeading"/>
        <w:spacing w:before="120"/>
        <w:rPr>
          <w:sz w:val="20"/>
        </w:rPr>
      </w:pPr>
      <w:r w:rsidRPr="00912643">
        <w:rPr>
          <w:sz w:val="20"/>
        </w:rPr>
        <w:t xml:space="preserve">General update: </w:t>
      </w:r>
      <w:r w:rsidR="00AB396E">
        <w:rPr>
          <w:sz w:val="20"/>
        </w:rPr>
        <w:t>We</w:t>
      </w:r>
      <w:r w:rsidR="006272C1">
        <w:rPr>
          <w:sz w:val="20"/>
        </w:rPr>
        <w:t xml:space="preserve"> recommend </w:t>
      </w:r>
      <w:r w:rsidR="005A4FCF">
        <w:rPr>
          <w:sz w:val="20"/>
        </w:rPr>
        <w:t xml:space="preserve">businesses </w:t>
      </w:r>
      <w:r w:rsidR="006272C1">
        <w:rPr>
          <w:sz w:val="20"/>
        </w:rPr>
        <w:t>and organisations</w:t>
      </w:r>
      <w:r w:rsidR="00441F1E">
        <w:rPr>
          <w:sz w:val="20"/>
        </w:rPr>
        <w:t xml:space="preserve"> </w:t>
      </w:r>
      <w:r w:rsidR="005673CF">
        <w:rPr>
          <w:sz w:val="20"/>
        </w:rPr>
        <w:t xml:space="preserve">use </w:t>
      </w:r>
      <w:r w:rsidR="00727EF3">
        <w:rPr>
          <w:sz w:val="20"/>
        </w:rPr>
        <w:t>emissions factor</w:t>
      </w:r>
      <w:r w:rsidR="005673CF">
        <w:rPr>
          <w:sz w:val="20"/>
        </w:rPr>
        <w:t>s</w:t>
      </w:r>
      <w:r w:rsidR="00727EF3">
        <w:rPr>
          <w:sz w:val="20"/>
        </w:rPr>
        <w:t xml:space="preserve"> that correlate to the year th</w:t>
      </w:r>
      <w:r w:rsidR="0088266C">
        <w:rPr>
          <w:sz w:val="20"/>
        </w:rPr>
        <w:t>ey are reporting. For example</w:t>
      </w:r>
      <w:r w:rsidR="00EF66D5">
        <w:rPr>
          <w:sz w:val="20"/>
        </w:rPr>
        <w:t>,</w:t>
      </w:r>
      <w:r w:rsidR="0088266C">
        <w:rPr>
          <w:sz w:val="20"/>
        </w:rPr>
        <w:t xml:space="preserve"> e</w:t>
      </w:r>
      <w:r w:rsidR="00727EF3">
        <w:rPr>
          <w:sz w:val="20"/>
        </w:rPr>
        <w:t xml:space="preserve">missions factors published in this guidance should be </w:t>
      </w:r>
      <w:r w:rsidR="00744CBB">
        <w:rPr>
          <w:sz w:val="20"/>
        </w:rPr>
        <w:t>applied</w:t>
      </w:r>
      <w:r w:rsidR="00727EF3">
        <w:rPr>
          <w:sz w:val="20"/>
        </w:rPr>
        <w:t xml:space="preserve"> to</w:t>
      </w:r>
      <w:r w:rsidR="00744CBB">
        <w:rPr>
          <w:sz w:val="20"/>
        </w:rPr>
        <w:t xml:space="preserve"> activities in</w:t>
      </w:r>
      <w:r w:rsidR="00727EF3">
        <w:rPr>
          <w:sz w:val="20"/>
        </w:rPr>
        <w:t xml:space="preserve"> the 2016 calendar year</w:t>
      </w:r>
      <w:r w:rsidR="005673CF">
        <w:rPr>
          <w:sz w:val="20"/>
        </w:rPr>
        <w:t xml:space="preserve"> or the 2016/2017 financial year</w:t>
      </w:r>
      <w:r w:rsidR="00727EF3">
        <w:rPr>
          <w:sz w:val="20"/>
        </w:rPr>
        <w:t>.</w:t>
      </w:r>
      <w:r w:rsidR="00425292">
        <w:rPr>
          <w:sz w:val="20"/>
        </w:rPr>
        <w:t xml:space="preserve"> </w:t>
      </w:r>
    </w:p>
    <w:p w:rsidR="009E3385" w:rsidRPr="000F1882" w:rsidRDefault="009E3385" w:rsidP="00AB2A47">
      <w:pPr>
        <w:pStyle w:val="BoxHeading"/>
      </w:pPr>
      <w:r w:rsidRPr="000F1882">
        <w:t>Scope 1</w:t>
      </w:r>
      <w:r w:rsidR="001D2E75">
        <w:t xml:space="preserve"> emissions</w:t>
      </w:r>
      <w:r w:rsidR="001D2E75">
        <w:rPr>
          <w:rStyle w:val="FootnoteReference"/>
        </w:rPr>
        <w:footnoteReference w:id="1"/>
      </w:r>
    </w:p>
    <w:p w:rsidR="009E3385" w:rsidRPr="000F1882" w:rsidRDefault="009E3385" w:rsidP="00AB2A47">
      <w:pPr>
        <w:pStyle w:val="Box"/>
        <w:jc w:val="left"/>
      </w:pPr>
      <w:r w:rsidRPr="000F1882">
        <w:rPr>
          <w:b/>
        </w:rPr>
        <w:t>Stationary combustion</w:t>
      </w:r>
      <w:r w:rsidRPr="000F1882">
        <w:t xml:space="preserve"> – emission factors for stationary combustion have been updated based on new figures for the </w:t>
      </w:r>
      <w:r w:rsidR="00DF7309">
        <w:t>201</w:t>
      </w:r>
      <w:r w:rsidR="00840EA6">
        <w:t>4</w:t>
      </w:r>
      <w:r w:rsidR="00DF7309" w:rsidRPr="000F1882">
        <w:t xml:space="preserve"> </w:t>
      </w:r>
      <w:r w:rsidRPr="000F1882">
        <w:t>calendar year.</w:t>
      </w:r>
      <w:r w:rsidR="000D0186">
        <w:t xml:space="preserve"> </w:t>
      </w:r>
    </w:p>
    <w:p w:rsidR="009E3385" w:rsidRDefault="009E3385" w:rsidP="00933CCF">
      <w:pPr>
        <w:pStyle w:val="Box"/>
        <w:jc w:val="left"/>
      </w:pPr>
      <w:r w:rsidRPr="000F1882">
        <w:rPr>
          <w:b/>
        </w:rPr>
        <w:t xml:space="preserve">Transport fuels </w:t>
      </w:r>
      <w:r w:rsidRPr="00977115">
        <w:t>–</w:t>
      </w:r>
      <w:r w:rsidRPr="000F1882">
        <w:rPr>
          <w:b/>
        </w:rPr>
        <w:t xml:space="preserve"> </w:t>
      </w:r>
      <w:r w:rsidRPr="000F1882">
        <w:t xml:space="preserve">emission factors for transport fuels have been updated based on new figures for the </w:t>
      </w:r>
      <w:r w:rsidR="00F47650">
        <w:t>201</w:t>
      </w:r>
      <w:r w:rsidR="00840EA6">
        <w:t>4</w:t>
      </w:r>
      <w:r w:rsidR="00F47650" w:rsidRPr="000F1882">
        <w:t xml:space="preserve"> </w:t>
      </w:r>
      <w:r w:rsidRPr="000F1882">
        <w:t>calendar year</w:t>
      </w:r>
      <w:r>
        <w:t>.</w:t>
      </w:r>
    </w:p>
    <w:p w:rsidR="003A1C39" w:rsidRDefault="003A1C39" w:rsidP="00AB2A47">
      <w:pPr>
        <w:pStyle w:val="Box"/>
        <w:jc w:val="left"/>
        <w:rPr>
          <w:rFonts w:cs="Arial"/>
        </w:rPr>
      </w:pPr>
      <w:r w:rsidRPr="00A1053D">
        <w:t xml:space="preserve">No estimates </w:t>
      </w:r>
      <w:r w:rsidR="0010290C">
        <w:t xml:space="preserve">are available </w:t>
      </w:r>
      <w:r w:rsidRPr="00A1053D">
        <w:t xml:space="preserve">for marine diesel for the </w:t>
      </w:r>
      <w:r w:rsidR="007B17CC" w:rsidRPr="00A1053D">
        <w:t>201</w:t>
      </w:r>
      <w:r w:rsidR="00840EA6">
        <w:t>4</w:t>
      </w:r>
      <w:r w:rsidR="007B17CC" w:rsidRPr="00A1053D">
        <w:t xml:space="preserve"> </w:t>
      </w:r>
      <w:r w:rsidR="0010290C">
        <w:t xml:space="preserve">calendar </w:t>
      </w:r>
      <w:r w:rsidRPr="00A1053D">
        <w:t>year as t</w:t>
      </w:r>
      <w:r w:rsidRPr="00A1053D">
        <w:rPr>
          <w:rFonts w:cs="Arial"/>
        </w:rPr>
        <w:t>he refinery has stopped making the marine diesel blend</w:t>
      </w:r>
      <w:r w:rsidR="0010290C">
        <w:rPr>
          <w:rFonts w:cs="Arial"/>
        </w:rPr>
        <w:t>.</w:t>
      </w:r>
      <w:r w:rsidR="00680064" w:rsidRPr="00A1053D">
        <w:rPr>
          <w:rFonts w:cs="Arial"/>
        </w:rPr>
        <w:t xml:space="preserve"> If an organisation was using marine diesel</w:t>
      </w:r>
      <w:r w:rsidR="001870A8">
        <w:rPr>
          <w:rFonts w:cs="Arial"/>
        </w:rPr>
        <w:t>,</w:t>
      </w:r>
      <w:r w:rsidR="00680064" w:rsidRPr="00A1053D">
        <w:rPr>
          <w:rFonts w:cs="Arial"/>
        </w:rPr>
        <w:t xml:space="preserve"> it is now likely to be using </w:t>
      </w:r>
      <w:r w:rsidR="0010290C">
        <w:rPr>
          <w:rFonts w:cs="Arial"/>
        </w:rPr>
        <w:t xml:space="preserve">light </w:t>
      </w:r>
      <w:r w:rsidR="00680064" w:rsidRPr="00A1053D">
        <w:rPr>
          <w:rFonts w:cs="Arial"/>
        </w:rPr>
        <w:t>fuel oil</w:t>
      </w:r>
      <w:r w:rsidR="001870A8">
        <w:rPr>
          <w:rFonts w:cs="Arial"/>
        </w:rPr>
        <w:t>;</w:t>
      </w:r>
      <w:r w:rsidR="00680064" w:rsidRPr="00A1053D">
        <w:rPr>
          <w:rFonts w:cs="Arial"/>
        </w:rPr>
        <w:t xml:space="preserve"> so the </w:t>
      </w:r>
      <w:r w:rsidR="0010290C">
        <w:rPr>
          <w:rFonts w:cs="Arial"/>
        </w:rPr>
        <w:t xml:space="preserve">corresponding </w:t>
      </w:r>
      <w:r w:rsidR="00680064" w:rsidRPr="00A1053D">
        <w:rPr>
          <w:rFonts w:cs="Arial"/>
        </w:rPr>
        <w:t xml:space="preserve">emission factor for </w:t>
      </w:r>
      <w:r w:rsidR="00F737DD">
        <w:rPr>
          <w:rFonts w:cs="Arial"/>
        </w:rPr>
        <w:t>light fuel oil</w:t>
      </w:r>
      <w:r w:rsidR="00F737DD" w:rsidRPr="00A1053D">
        <w:rPr>
          <w:rFonts w:cs="Arial"/>
        </w:rPr>
        <w:t xml:space="preserve"> </w:t>
      </w:r>
      <w:r w:rsidR="00680064" w:rsidRPr="00A1053D">
        <w:rPr>
          <w:rFonts w:cs="Arial"/>
        </w:rPr>
        <w:t>should be used instead.</w:t>
      </w:r>
    </w:p>
    <w:p w:rsidR="00A776C8" w:rsidRDefault="00A776C8" w:rsidP="00AB2A47">
      <w:pPr>
        <w:pStyle w:val="Box"/>
        <w:jc w:val="left"/>
        <w:rPr>
          <w:rFonts w:cs="Arial"/>
        </w:rPr>
      </w:pPr>
      <w:r w:rsidRPr="00BA66FA">
        <w:rPr>
          <w:b/>
        </w:rPr>
        <w:t>Transport by distance</w:t>
      </w:r>
      <w:r>
        <w:rPr>
          <w:b/>
        </w:rPr>
        <w:t xml:space="preserve"> </w:t>
      </w:r>
      <w:r w:rsidRPr="00BA66FA">
        <w:t xml:space="preserve">– </w:t>
      </w:r>
      <w:r w:rsidRPr="00BA66FA">
        <w:rPr>
          <w:rFonts w:cs="Arial"/>
        </w:rPr>
        <w:t>emissions factors</w:t>
      </w:r>
      <w:r w:rsidR="00475D74">
        <w:rPr>
          <w:rFonts w:cs="Arial"/>
        </w:rPr>
        <w:t xml:space="preserve"> </w:t>
      </w:r>
      <w:r w:rsidR="00893D0D">
        <w:rPr>
          <w:rFonts w:cs="Arial"/>
        </w:rPr>
        <w:t xml:space="preserve">by engine size </w:t>
      </w:r>
      <w:r w:rsidR="00475D74">
        <w:rPr>
          <w:rFonts w:cs="Arial"/>
        </w:rPr>
        <w:t>are now</w:t>
      </w:r>
      <w:r w:rsidR="00893D0D">
        <w:rPr>
          <w:rFonts w:cs="Arial"/>
        </w:rPr>
        <w:t xml:space="preserve"> given in greater detail.</w:t>
      </w:r>
      <w:r w:rsidR="00475D74">
        <w:rPr>
          <w:rFonts w:cs="Arial"/>
        </w:rPr>
        <w:t xml:space="preserve"> </w:t>
      </w:r>
      <w:r w:rsidR="00893D0D">
        <w:rPr>
          <w:rFonts w:cs="Arial"/>
        </w:rPr>
        <w:t>In addition</w:t>
      </w:r>
      <w:r w:rsidR="00BA66FA">
        <w:rPr>
          <w:rFonts w:cs="Arial"/>
        </w:rPr>
        <w:t>,</w:t>
      </w:r>
      <w:r w:rsidR="006F6ECA">
        <w:rPr>
          <w:rFonts w:cs="Arial"/>
        </w:rPr>
        <w:t xml:space="preserve"> </w:t>
      </w:r>
      <w:r w:rsidR="00893D0D">
        <w:rPr>
          <w:rFonts w:cs="Arial"/>
        </w:rPr>
        <w:t xml:space="preserve">emissions factors </w:t>
      </w:r>
      <w:r w:rsidR="006F6ECA">
        <w:rPr>
          <w:rFonts w:cs="Arial"/>
        </w:rPr>
        <w:t xml:space="preserve">for petrol hybrids are now available. </w:t>
      </w:r>
      <w:r w:rsidR="00893D0D">
        <w:rPr>
          <w:rFonts w:cs="Arial"/>
        </w:rPr>
        <w:t xml:space="preserve"> </w:t>
      </w:r>
    </w:p>
    <w:p w:rsidR="001B6BE5" w:rsidRDefault="001B6BE5" w:rsidP="00AB2A47">
      <w:pPr>
        <w:pStyle w:val="Box"/>
        <w:jc w:val="left"/>
        <w:rPr>
          <w:rFonts w:cs="Arial"/>
        </w:rPr>
      </w:pPr>
      <w:r w:rsidRPr="00BA66FA">
        <w:rPr>
          <w:rFonts w:cs="Arial"/>
          <w:b/>
        </w:rPr>
        <w:t>Taxis/rental cars</w:t>
      </w:r>
      <w:r>
        <w:rPr>
          <w:rFonts w:cs="Arial"/>
        </w:rPr>
        <w:t xml:space="preserve"> have now been classed as scope 1.</w:t>
      </w:r>
      <w:r w:rsidR="00C95FBE">
        <w:rPr>
          <w:rFonts w:cs="Arial"/>
        </w:rPr>
        <w:t xml:space="preserve"> </w:t>
      </w:r>
      <w:r w:rsidR="00C95FBE">
        <w:t>E</w:t>
      </w:r>
      <w:r w:rsidR="00C95FBE" w:rsidRPr="000F1882">
        <w:t xml:space="preserve">mission factors for travel in taxis/rental cars have been updated based on new figures for the </w:t>
      </w:r>
      <w:r w:rsidR="00C95FBE">
        <w:t>2014</w:t>
      </w:r>
      <w:r w:rsidR="00C95FBE" w:rsidRPr="000F1882">
        <w:t xml:space="preserve"> calendar year.</w:t>
      </w:r>
    </w:p>
    <w:p w:rsidR="009E3385" w:rsidRPr="000F1882" w:rsidRDefault="009E3385" w:rsidP="00AB2A47">
      <w:pPr>
        <w:pStyle w:val="BoxHeading"/>
      </w:pPr>
      <w:r w:rsidRPr="000F1882">
        <w:t>Scope 2</w:t>
      </w:r>
    </w:p>
    <w:p w:rsidR="009E3385" w:rsidRDefault="009E3385" w:rsidP="00AB2A47">
      <w:pPr>
        <w:pStyle w:val="Box"/>
        <w:jc w:val="left"/>
      </w:pPr>
      <w:r w:rsidRPr="000F1882">
        <w:rPr>
          <w:b/>
        </w:rPr>
        <w:t>Purchased electricity</w:t>
      </w:r>
      <w:r w:rsidRPr="000F1882">
        <w:t xml:space="preserve"> –</w:t>
      </w:r>
      <w:r w:rsidR="00D81170">
        <w:t xml:space="preserve"> </w:t>
      </w:r>
      <w:r w:rsidR="00E73D2D">
        <w:t>The e</w:t>
      </w:r>
      <w:r w:rsidRPr="000F1882">
        <w:t xml:space="preserve">lectricity </w:t>
      </w:r>
      <w:r w:rsidR="00E73D2D">
        <w:t xml:space="preserve">emission factor </w:t>
      </w:r>
      <w:r w:rsidRPr="000F1882">
        <w:t>ha</w:t>
      </w:r>
      <w:r w:rsidR="00E73D2D">
        <w:t>s</w:t>
      </w:r>
      <w:r w:rsidRPr="000F1882">
        <w:t xml:space="preserve"> been updated based on new figures for the </w:t>
      </w:r>
      <w:r w:rsidR="007B17CC">
        <w:t>201</w:t>
      </w:r>
      <w:r w:rsidR="00BC3240">
        <w:t>4</w:t>
      </w:r>
      <w:r w:rsidR="007B17CC">
        <w:t xml:space="preserve"> </w:t>
      </w:r>
      <w:r w:rsidRPr="000F1882">
        <w:t>calendar year.</w:t>
      </w:r>
    </w:p>
    <w:p w:rsidR="00E73D2D" w:rsidRPr="003B6E43" w:rsidRDefault="00E73D2D" w:rsidP="00AB2A47">
      <w:pPr>
        <w:pStyle w:val="Box"/>
        <w:jc w:val="left"/>
      </w:pPr>
      <w:r w:rsidRPr="003B6E43">
        <w:t xml:space="preserve">A time series of electricity emission factors </w:t>
      </w:r>
      <w:r w:rsidR="00E80323">
        <w:t xml:space="preserve">for the period 1990–2014 </w:t>
      </w:r>
      <w:r w:rsidRPr="003B6E43">
        <w:t xml:space="preserve">are provided </w:t>
      </w:r>
      <w:r w:rsidR="00B22186">
        <w:t>for</w:t>
      </w:r>
      <w:r>
        <w:t xml:space="preserve"> 1990 to </w:t>
      </w:r>
      <w:r w:rsidR="008C046C">
        <w:t>201</w:t>
      </w:r>
      <w:r w:rsidR="00840EA6">
        <w:t>4</w:t>
      </w:r>
      <w:r w:rsidR="008C046C">
        <w:t xml:space="preserve"> </w:t>
      </w:r>
      <w:r>
        <w:t>in the Microsoft Excel workbook.</w:t>
      </w:r>
    </w:p>
    <w:p w:rsidR="009E3385" w:rsidRPr="000F1882" w:rsidRDefault="009E3385" w:rsidP="00AB2A47">
      <w:pPr>
        <w:pStyle w:val="BoxHeading"/>
      </w:pPr>
      <w:r w:rsidRPr="000F1882">
        <w:t>Scope 3</w:t>
      </w:r>
    </w:p>
    <w:p w:rsidR="000F1E47" w:rsidRDefault="009E3385" w:rsidP="00AB2A47">
      <w:pPr>
        <w:pStyle w:val="Box"/>
        <w:jc w:val="left"/>
        <w:rPr>
          <w:b/>
        </w:rPr>
      </w:pPr>
      <w:r w:rsidRPr="000F1882">
        <w:rPr>
          <w:b/>
        </w:rPr>
        <w:t xml:space="preserve">Transmission and distribution losses </w:t>
      </w:r>
      <w:r w:rsidRPr="000F1882">
        <w:t xml:space="preserve">– emission factors for transmission and distribution losses from purchased electricity and natural gas have been updated based on new figures for the </w:t>
      </w:r>
      <w:r w:rsidR="007B17CC">
        <w:t>201</w:t>
      </w:r>
      <w:r w:rsidR="00BC3240">
        <w:t>4</w:t>
      </w:r>
      <w:r w:rsidR="007B17CC" w:rsidRPr="000F1882">
        <w:t xml:space="preserve"> </w:t>
      </w:r>
      <w:r w:rsidRPr="000F1882">
        <w:t>calendar year.</w:t>
      </w:r>
      <w:r w:rsidR="0096671E">
        <w:t xml:space="preserve"> </w:t>
      </w:r>
    </w:p>
    <w:p w:rsidR="00EC1311" w:rsidRDefault="009E3385" w:rsidP="00AB2A47">
      <w:pPr>
        <w:pStyle w:val="Box"/>
        <w:jc w:val="left"/>
      </w:pPr>
      <w:r w:rsidRPr="000F1882">
        <w:rPr>
          <w:b/>
        </w:rPr>
        <w:t xml:space="preserve">Air travel </w:t>
      </w:r>
      <w:r w:rsidRPr="000F1882">
        <w:t>–</w:t>
      </w:r>
      <w:r w:rsidR="004A6786">
        <w:t xml:space="preserve"> To calculate </w:t>
      </w:r>
      <w:r w:rsidR="00817D29">
        <w:t xml:space="preserve">air travel </w:t>
      </w:r>
      <w:r w:rsidR="004A6786">
        <w:t>emissions it is now</w:t>
      </w:r>
      <w:r w:rsidR="003A170F">
        <w:t xml:space="preserve"> recommended </w:t>
      </w:r>
      <w:r w:rsidR="004A6786">
        <w:t xml:space="preserve">that organisations use the </w:t>
      </w:r>
      <w:r w:rsidR="004A6786" w:rsidRPr="00A11F6F">
        <w:t>International Civil Aviation Organization (</w:t>
      </w:r>
      <w:r w:rsidR="004A6786">
        <w:t>ICAO)</w:t>
      </w:r>
      <w:r w:rsidR="004A6786" w:rsidRPr="00A11F6F">
        <w:t xml:space="preserve"> </w:t>
      </w:r>
      <w:r w:rsidR="004A6786">
        <w:t xml:space="preserve">calculator. </w:t>
      </w:r>
      <w:r w:rsidR="00BC69CA">
        <w:t xml:space="preserve">The latest </w:t>
      </w:r>
      <w:r w:rsidRPr="000F1882">
        <w:t>e</w:t>
      </w:r>
      <w:r w:rsidR="00EF66D5">
        <w:t xml:space="preserve">mission factors for air travel </w:t>
      </w:r>
      <w:r w:rsidR="00DB3A7E">
        <w:t>from</w:t>
      </w:r>
      <w:r w:rsidR="00EA4165">
        <w:t xml:space="preserve"> </w:t>
      </w:r>
      <w:r w:rsidR="00EA4165" w:rsidRPr="00EA4165">
        <w:t>Department for Business, Energy &amp; Industrial Strategy</w:t>
      </w:r>
      <w:r w:rsidR="00DB3A7E">
        <w:t xml:space="preserve"> in the U</w:t>
      </w:r>
      <w:r w:rsidR="007F7EC8">
        <w:t xml:space="preserve">nited </w:t>
      </w:r>
      <w:r w:rsidR="00DB3A7E">
        <w:t>K</w:t>
      </w:r>
      <w:r w:rsidR="007F7EC8">
        <w:t>ingdom</w:t>
      </w:r>
      <w:r w:rsidR="00601113">
        <w:t xml:space="preserve"> are still published if </w:t>
      </w:r>
      <w:r w:rsidR="003911CE">
        <w:t xml:space="preserve">an </w:t>
      </w:r>
      <w:r w:rsidR="00601113">
        <w:t>organisation wishes to use these</w:t>
      </w:r>
      <w:r w:rsidRPr="000F1882">
        <w:t>.</w:t>
      </w:r>
      <w:r w:rsidR="00423388">
        <w:t xml:space="preserve"> </w:t>
      </w:r>
    </w:p>
    <w:p w:rsidR="00250C31" w:rsidRDefault="009E3385" w:rsidP="00250C31">
      <w:pPr>
        <w:pStyle w:val="Box"/>
        <w:jc w:val="left"/>
        <w:rPr>
          <w:szCs w:val="22"/>
        </w:rPr>
      </w:pPr>
      <w:r w:rsidRPr="000F1882">
        <w:rPr>
          <w:b/>
        </w:rPr>
        <w:t>Waste</w:t>
      </w:r>
      <w:r w:rsidRPr="000F1882">
        <w:t xml:space="preserve"> – emission factors for waste to landfill with methane capture have been updated based on </w:t>
      </w:r>
      <w:r>
        <w:t>the latest</w:t>
      </w:r>
      <w:r w:rsidRPr="000F1882">
        <w:t xml:space="preserve"> data</w:t>
      </w:r>
      <w:r>
        <w:t xml:space="preserve"> on landfill gas collection rates</w:t>
      </w:r>
      <w:r w:rsidRPr="000F1882">
        <w:t xml:space="preserve"> for the </w:t>
      </w:r>
      <w:r w:rsidR="002E67F2">
        <w:t>201</w:t>
      </w:r>
      <w:r w:rsidR="00EC1244">
        <w:t>4</w:t>
      </w:r>
      <w:r w:rsidR="002E67F2" w:rsidRPr="000F1882">
        <w:t xml:space="preserve"> </w:t>
      </w:r>
      <w:r w:rsidRPr="000F1882">
        <w:t>calendar year.</w:t>
      </w:r>
      <w:r w:rsidR="00E73D2D">
        <w:t xml:space="preserve"> The mixed waste factor has been updated based on </w:t>
      </w:r>
      <w:r w:rsidR="001B7F03">
        <w:rPr>
          <w:szCs w:val="22"/>
        </w:rPr>
        <w:t xml:space="preserve">national average composition data from </w:t>
      </w:r>
      <w:r w:rsidR="007F7EC8" w:rsidRPr="007F7EC8">
        <w:rPr>
          <w:i/>
          <w:szCs w:val="22"/>
        </w:rPr>
        <w:t>New Zealand’s Greenhouse Gas Inventory</w:t>
      </w:r>
      <w:r w:rsidR="00F95DC5">
        <w:rPr>
          <w:i/>
          <w:szCs w:val="22"/>
        </w:rPr>
        <w:t xml:space="preserve"> </w:t>
      </w:r>
      <w:r w:rsidR="00FD5666">
        <w:rPr>
          <w:i/>
          <w:szCs w:val="22"/>
        </w:rPr>
        <w:t>1990-201</w:t>
      </w:r>
      <w:r w:rsidR="00BC3240">
        <w:rPr>
          <w:i/>
          <w:szCs w:val="22"/>
        </w:rPr>
        <w:t>4</w:t>
      </w:r>
      <w:r w:rsidR="00292F5E">
        <w:rPr>
          <w:i/>
          <w:szCs w:val="22"/>
        </w:rPr>
        <w:t xml:space="preserve"> </w:t>
      </w:r>
      <w:r w:rsidR="00FF7919">
        <w:rPr>
          <w:szCs w:val="22"/>
        </w:rPr>
        <w:t xml:space="preserve">(published in </w:t>
      </w:r>
      <w:r w:rsidR="00BC3240">
        <w:rPr>
          <w:szCs w:val="22"/>
        </w:rPr>
        <w:t>May</w:t>
      </w:r>
      <w:r w:rsidR="00FF7919">
        <w:rPr>
          <w:szCs w:val="22"/>
        </w:rPr>
        <w:t xml:space="preserve"> 201</w:t>
      </w:r>
      <w:r w:rsidR="00BC3240">
        <w:rPr>
          <w:szCs w:val="22"/>
        </w:rPr>
        <w:t>6</w:t>
      </w:r>
      <w:r w:rsidR="00FF7919">
        <w:rPr>
          <w:szCs w:val="22"/>
        </w:rPr>
        <w:t>).</w:t>
      </w:r>
    </w:p>
    <w:p w:rsidR="009E3385" w:rsidRDefault="00933CCF" w:rsidP="00CC4A6B">
      <w:pPr>
        <w:pStyle w:val="Box"/>
        <w:jc w:val="left"/>
      </w:pPr>
      <w:r w:rsidRPr="000F1882">
        <w:rPr>
          <w:b/>
        </w:rPr>
        <w:t>Note</w:t>
      </w:r>
      <w:r>
        <w:rPr>
          <w:b/>
        </w:rPr>
        <w:t>:</w:t>
      </w:r>
      <w:r w:rsidRPr="000F1882">
        <w:t xml:space="preserve"> this guid</w:t>
      </w:r>
      <w:r>
        <w:t>e</w:t>
      </w:r>
      <w:r w:rsidRPr="000F1882">
        <w:t xml:space="preserve"> is solely for use in voluntary greenhouse gas reporting, and should </w:t>
      </w:r>
      <w:r w:rsidRPr="00977115">
        <w:rPr>
          <w:b/>
        </w:rPr>
        <w:t>not</w:t>
      </w:r>
      <w:r w:rsidRPr="000F1882">
        <w:t xml:space="preserve"> be used for reporting under the New Zealand Emissions Trading Scheme.</w:t>
      </w:r>
    </w:p>
    <w:p w:rsidR="006A7333" w:rsidRDefault="006A7333" w:rsidP="00852B36">
      <w:pPr>
        <w:sectPr w:rsidR="006A7333" w:rsidSect="00B53DD3">
          <w:headerReference w:type="even" r:id="rId13"/>
          <w:headerReference w:type="default" r:id="rId14"/>
          <w:footerReference w:type="even" r:id="rId15"/>
          <w:footerReference w:type="default" r:id="rId16"/>
          <w:pgSz w:w="11907" w:h="16840" w:code="9"/>
          <w:pgMar w:top="1701" w:right="1418" w:bottom="1701" w:left="1418" w:header="567" w:footer="567" w:gutter="567"/>
          <w:pgNumType w:fmt="lowerRoman"/>
          <w:cols w:space="720"/>
        </w:sectPr>
      </w:pPr>
    </w:p>
    <w:p w:rsidR="00725A18" w:rsidRPr="005267D4" w:rsidRDefault="00725A18" w:rsidP="00620BF3">
      <w:pPr>
        <w:pStyle w:val="Heading"/>
      </w:pPr>
      <w:r w:rsidRPr="005267D4">
        <w:lastRenderedPageBreak/>
        <w:t>Contents</w:t>
      </w:r>
    </w:p>
    <w:p w:rsidR="00A607B1" w:rsidRDefault="00EA562A">
      <w:pPr>
        <w:pStyle w:val="TOC1"/>
        <w:rPr>
          <w:rFonts w:asciiTheme="minorHAnsi" w:eastAsiaTheme="minorEastAsia" w:hAnsiTheme="minorHAnsi" w:cstheme="minorBidi"/>
          <w:noProof/>
          <w:sz w:val="22"/>
          <w:szCs w:val="22"/>
          <w:lang w:eastAsia="en-NZ"/>
        </w:rPr>
      </w:pPr>
      <w:r>
        <w:fldChar w:fldCharType="begin"/>
      </w:r>
      <w:r w:rsidR="009C707C">
        <w:instrText xml:space="preserve"> TOC \o "1-1" \t "Heading 2,2,Heading 3,3" </w:instrText>
      </w:r>
      <w:r>
        <w:fldChar w:fldCharType="separate"/>
      </w:r>
      <w:r w:rsidR="00A607B1">
        <w:rPr>
          <w:noProof/>
        </w:rPr>
        <w:t>1</w:t>
      </w:r>
      <w:r w:rsidR="00A607B1">
        <w:rPr>
          <w:rFonts w:asciiTheme="minorHAnsi" w:eastAsiaTheme="minorEastAsia" w:hAnsiTheme="minorHAnsi" w:cstheme="minorBidi"/>
          <w:noProof/>
          <w:sz w:val="22"/>
          <w:szCs w:val="22"/>
          <w:lang w:eastAsia="en-NZ"/>
        </w:rPr>
        <w:tab/>
      </w:r>
      <w:r w:rsidR="00A607B1">
        <w:rPr>
          <w:noProof/>
        </w:rPr>
        <w:t>Guidance on reporting</w:t>
      </w:r>
      <w:r w:rsidR="00A607B1">
        <w:rPr>
          <w:noProof/>
        </w:rPr>
        <w:tab/>
      </w:r>
      <w:r w:rsidR="00A607B1">
        <w:rPr>
          <w:noProof/>
        </w:rPr>
        <w:fldChar w:fldCharType="begin"/>
      </w:r>
      <w:r w:rsidR="00A607B1">
        <w:rPr>
          <w:noProof/>
        </w:rPr>
        <w:instrText xml:space="preserve"> PAGEREF _Toc469577155 \h </w:instrText>
      </w:r>
      <w:r w:rsidR="00A607B1">
        <w:rPr>
          <w:noProof/>
        </w:rPr>
      </w:r>
      <w:r w:rsidR="00A607B1">
        <w:rPr>
          <w:noProof/>
        </w:rPr>
        <w:fldChar w:fldCharType="separate"/>
      </w:r>
      <w:r w:rsidR="00AD27F1">
        <w:rPr>
          <w:noProof/>
        </w:rPr>
        <w:t>1</w:t>
      </w:r>
      <w:r w:rsidR="00A607B1">
        <w:rPr>
          <w:noProof/>
        </w:rPr>
        <w:fldChar w:fldCharType="end"/>
      </w:r>
    </w:p>
    <w:p w:rsidR="00A607B1" w:rsidRDefault="00A607B1">
      <w:pPr>
        <w:pStyle w:val="TOC2"/>
        <w:tabs>
          <w:tab w:val="left" w:pos="1134"/>
        </w:tabs>
        <w:rPr>
          <w:rFonts w:asciiTheme="minorHAnsi" w:eastAsiaTheme="minorEastAsia" w:hAnsiTheme="minorHAnsi" w:cstheme="minorBidi"/>
          <w:noProof/>
          <w:sz w:val="22"/>
          <w:szCs w:val="22"/>
          <w:lang w:eastAsia="en-NZ"/>
        </w:rPr>
      </w:pPr>
      <w:r>
        <w:rPr>
          <w:noProof/>
        </w:rPr>
        <w:t>1.1</w:t>
      </w:r>
      <w:r>
        <w:rPr>
          <w:rFonts w:asciiTheme="minorHAnsi" w:eastAsiaTheme="minorEastAsia" w:hAnsiTheme="minorHAnsi" w:cstheme="minorBidi"/>
          <w:noProof/>
          <w:sz w:val="22"/>
          <w:szCs w:val="22"/>
          <w:lang w:eastAsia="en-NZ"/>
        </w:rPr>
        <w:tab/>
      </w:r>
      <w:r>
        <w:rPr>
          <w:noProof/>
        </w:rPr>
        <w:t>Introduction</w:t>
      </w:r>
      <w:r>
        <w:rPr>
          <w:noProof/>
        </w:rPr>
        <w:tab/>
      </w:r>
      <w:r>
        <w:rPr>
          <w:noProof/>
        </w:rPr>
        <w:fldChar w:fldCharType="begin"/>
      </w:r>
      <w:r>
        <w:rPr>
          <w:noProof/>
        </w:rPr>
        <w:instrText xml:space="preserve"> PAGEREF _Toc469577156 \h </w:instrText>
      </w:r>
      <w:r>
        <w:rPr>
          <w:noProof/>
        </w:rPr>
      </w:r>
      <w:r>
        <w:rPr>
          <w:noProof/>
        </w:rPr>
        <w:fldChar w:fldCharType="separate"/>
      </w:r>
      <w:r w:rsidR="00AD27F1">
        <w:rPr>
          <w:noProof/>
        </w:rPr>
        <w:t>1</w:t>
      </w:r>
      <w:r>
        <w:rPr>
          <w:noProof/>
        </w:rPr>
        <w:fldChar w:fldCharType="end"/>
      </w:r>
    </w:p>
    <w:p w:rsidR="00A607B1" w:rsidRDefault="00A607B1">
      <w:pPr>
        <w:pStyle w:val="TOC2"/>
        <w:tabs>
          <w:tab w:val="left" w:pos="1134"/>
        </w:tabs>
        <w:rPr>
          <w:rFonts w:asciiTheme="minorHAnsi" w:eastAsiaTheme="minorEastAsia" w:hAnsiTheme="minorHAnsi" w:cstheme="minorBidi"/>
          <w:noProof/>
          <w:sz w:val="22"/>
          <w:szCs w:val="22"/>
          <w:lang w:eastAsia="en-NZ"/>
        </w:rPr>
      </w:pPr>
      <w:r>
        <w:rPr>
          <w:noProof/>
        </w:rPr>
        <w:t>1.2</w:t>
      </w:r>
      <w:r>
        <w:rPr>
          <w:rFonts w:asciiTheme="minorHAnsi" w:eastAsiaTheme="minorEastAsia" w:hAnsiTheme="minorHAnsi" w:cstheme="minorBidi"/>
          <w:noProof/>
          <w:sz w:val="22"/>
          <w:szCs w:val="22"/>
          <w:lang w:eastAsia="en-NZ"/>
        </w:rPr>
        <w:tab/>
      </w:r>
      <w:r>
        <w:rPr>
          <w:noProof/>
        </w:rPr>
        <w:t>Who is this guide intended for?</w:t>
      </w:r>
      <w:r>
        <w:rPr>
          <w:noProof/>
        </w:rPr>
        <w:tab/>
      </w:r>
      <w:r>
        <w:rPr>
          <w:noProof/>
        </w:rPr>
        <w:fldChar w:fldCharType="begin"/>
      </w:r>
      <w:r>
        <w:rPr>
          <w:noProof/>
        </w:rPr>
        <w:instrText xml:space="preserve"> PAGEREF _Toc469577157 \h </w:instrText>
      </w:r>
      <w:r>
        <w:rPr>
          <w:noProof/>
        </w:rPr>
      </w:r>
      <w:r>
        <w:rPr>
          <w:noProof/>
        </w:rPr>
        <w:fldChar w:fldCharType="separate"/>
      </w:r>
      <w:r w:rsidR="00AD27F1">
        <w:rPr>
          <w:noProof/>
        </w:rPr>
        <w:t>1</w:t>
      </w:r>
      <w:r>
        <w:rPr>
          <w:noProof/>
        </w:rPr>
        <w:fldChar w:fldCharType="end"/>
      </w:r>
    </w:p>
    <w:p w:rsidR="00A607B1" w:rsidRDefault="00A607B1">
      <w:pPr>
        <w:pStyle w:val="TOC2"/>
        <w:tabs>
          <w:tab w:val="left" w:pos="1134"/>
        </w:tabs>
        <w:rPr>
          <w:rFonts w:asciiTheme="minorHAnsi" w:eastAsiaTheme="minorEastAsia" w:hAnsiTheme="minorHAnsi" w:cstheme="minorBidi"/>
          <w:noProof/>
          <w:sz w:val="22"/>
          <w:szCs w:val="22"/>
          <w:lang w:eastAsia="en-NZ"/>
        </w:rPr>
      </w:pPr>
      <w:r>
        <w:rPr>
          <w:noProof/>
        </w:rPr>
        <w:t>1.3</w:t>
      </w:r>
      <w:r>
        <w:rPr>
          <w:rFonts w:asciiTheme="minorHAnsi" w:eastAsiaTheme="minorEastAsia" w:hAnsiTheme="minorHAnsi" w:cstheme="minorBidi"/>
          <w:noProof/>
          <w:sz w:val="22"/>
          <w:szCs w:val="22"/>
          <w:lang w:eastAsia="en-NZ"/>
        </w:rPr>
        <w:tab/>
      </w:r>
      <w:r>
        <w:rPr>
          <w:noProof/>
        </w:rPr>
        <w:t>Why is this information not for use in an emissions trading scheme?</w:t>
      </w:r>
      <w:r>
        <w:rPr>
          <w:noProof/>
        </w:rPr>
        <w:tab/>
      </w:r>
      <w:r>
        <w:rPr>
          <w:noProof/>
        </w:rPr>
        <w:fldChar w:fldCharType="begin"/>
      </w:r>
      <w:r>
        <w:rPr>
          <w:noProof/>
        </w:rPr>
        <w:instrText xml:space="preserve"> PAGEREF _Toc469577158 \h </w:instrText>
      </w:r>
      <w:r>
        <w:rPr>
          <w:noProof/>
        </w:rPr>
      </w:r>
      <w:r>
        <w:rPr>
          <w:noProof/>
        </w:rPr>
        <w:fldChar w:fldCharType="separate"/>
      </w:r>
      <w:r w:rsidR="00AD27F1">
        <w:rPr>
          <w:noProof/>
        </w:rPr>
        <w:t>2</w:t>
      </w:r>
      <w:r>
        <w:rPr>
          <w:noProof/>
        </w:rPr>
        <w:fldChar w:fldCharType="end"/>
      </w:r>
    </w:p>
    <w:p w:rsidR="00A607B1" w:rsidRDefault="00A607B1">
      <w:pPr>
        <w:pStyle w:val="TOC2"/>
        <w:tabs>
          <w:tab w:val="left" w:pos="1134"/>
        </w:tabs>
        <w:rPr>
          <w:rFonts w:asciiTheme="minorHAnsi" w:eastAsiaTheme="minorEastAsia" w:hAnsiTheme="minorHAnsi" w:cstheme="minorBidi"/>
          <w:noProof/>
          <w:sz w:val="22"/>
          <w:szCs w:val="22"/>
          <w:lang w:eastAsia="en-NZ"/>
        </w:rPr>
      </w:pPr>
      <w:r>
        <w:rPr>
          <w:noProof/>
        </w:rPr>
        <w:t>1.4</w:t>
      </w:r>
      <w:r>
        <w:rPr>
          <w:rFonts w:asciiTheme="minorHAnsi" w:eastAsiaTheme="minorEastAsia" w:hAnsiTheme="minorHAnsi" w:cstheme="minorBidi"/>
          <w:noProof/>
          <w:sz w:val="22"/>
          <w:szCs w:val="22"/>
          <w:lang w:eastAsia="en-NZ"/>
        </w:rPr>
        <w:tab/>
      </w:r>
      <w:r>
        <w:rPr>
          <w:noProof/>
        </w:rPr>
        <w:t>What standards should I follow to report emissions?</w:t>
      </w:r>
      <w:r>
        <w:rPr>
          <w:noProof/>
        </w:rPr>
        <w:tab/>
      </w:r>
      <w:r>
        <w:rPr>
          <w:noProof/>
        </w:rPr>
        <w:fldChar w:fldCharType="begin"/>
      </w:r>
      <w:r>
        <w:rPr>
          <w:noProof/>
        </w:rPr>
        <w:instrText xml:space="preserve"> PAGEREF _Toc469577159 \h </w:instrText>
      </w:r>
      <w:r>
        <w:rPr>
          <w:noProof/>
        </w:rPr>
      </w:r>
      <w:r>
        <w:rPr>
          <w:noProof/>
        </w:rPr>
        <w:fldChar w:fldCharType="separate"/>
      </w:r>
      <w:r w:rsidR="00AD27F1">
        <w:rPr>
          <w:noProof/>
        </w:rPr>
        <w:t>2</w:t>
      </w:r>
      <w:r>
        <w:rPr>
          <w:noProof/>
        </w:rPr>
        <w:fldChar w:fldCharType="end"/>
      </w:r>
    </w:p>
    <w:p w:rsidR="00A607B1" w:rsidRDefault="00A607B1">
      <w:pPr>
        <w:pStyle w:val="TOC3"/>
        <w:tabs>
          <w:tab w:val="left" w:pos="1799"/>
          <w:tab w:val="right" w:pos="8494"/>
        </w:tabs>
        <w:rPr>
          <w:rFonts w:asciiTheme="minorHAnsi" w:eastAsiaTheme="minorEastAsia" w:hAnsiTheme="minorHAnsi" w:cstheme="minorBidi"/>
          <w:noProof/>
          <w:sz w:val="22"/>
          <w:szCs w:val="22"/>
          <w:lang w:eastAsia="en-NZ"/>
        </w:rPr>
      </w:pPr>
      <w:r>
        <w:rPr>
          <w:noProof/>
        </w:rPr>
        <w:t>1.4.1</w:t>
      </w:r>
      <w:r>
        <w:rPr>
          <w:rFonts w:asciiTheme="minorHAnsi" w:eastAsiaTheme="minorEastAsia" w:hAnsiTheme="minorHAnsi" w:cstheme="minorBidi"/>
          <w:noProof/>
          <w:sz w:val="22"/>
          <w:szCs w:val="22"/>
          <w:lang w:eastAsia="en-NZ"/>
        </w:rPr>
        <w:tab/>
      </w:r>
      <w:r>
        <w:rPr>
          <w:noProof/>
        </w:rPr>
        <w:t>What do the GHG Protocol and ISO 14064-1 cover?</w:t>
      </w:r>
      <w:r>
        <w:rPr>
          <w:noProof/>
        </w:rPr>
        <w:tab/>
      </w:r>
      <w:r>
        <w:rPr>
          <w:noProof/>
        </w:rPr>
        <w:fldChar w:fldCharType="begin"/>
      </w:r>
      <w:r>
        <w:rPr>
          <w:noProof/>
        </w:rPr>
        <w:instrText xml:space="preserve"> PAGEREF _Toc469577160 \h </w:instrText>
      </w:r>
      <w:r>
        <w:rPr>
          <w:noProof/>
        </w:rPr>
      </w:r>
      <w:r>
        <w:rPr>
          <w:noProof/>
        </w:rPr>
        <w:fldChar w:fldCharType="separate"/>
      </w:r>
      <w:r w:rsidR="00AD27F1">
        <w:rPr>
          <w:noProof/>
        </w:rPr>
        <w:t>2</w:t>
      </w:r>
      <w:r>
        <w:rPr>
          <w:noProof/>
        </w:rPr>
        <w:fldChar w:fldCharType="end"/>
      </w:r>
    </w:p>
    <w:p w:rsidR="00A607B1" w:rsidRDefault="00A607B1">
      <w:pPr>
        <w:pStyle w:val="TOC3"/>
        <w:tabs>
          <w:tab w:val="left" w:pos="1799"/>
          <w:tab w:val="right" w:pos="8494"/>
        </w:tabs>
        <w:rPr>
          <w:rFonts w:asciiTheme="minorHAnsi" w:eastAsiaTheme="minorEastAsia" w:hAnsiTheme="minorHAnsi" w:cstheme="minorBidi"/>
          <w:noProof/>
          <w:sz w:val="22"/>
          <w:szCs w:val="22"/>
          <w:lang w:eastAsia="en-NZ"/>
        </w:rPr>
      </w:pPr>
      <w:r>
        <w:rPr>
          <w:noProof/>
        </w:rPr>
        <w:t>1.4.2</w:t>
      </w:r>
      <w:r>
        <w:rPr>
          <w:rFonts w:asciiTheme="minorHAnsi" w:eastAsiaTheme="minorEastAsia" w:hAnsiTheme="minorHAnsi" w:cstheme="minorBidi"/>
          <w:noProof/>
          <w:sz w:val="22"/>
          <w:szCs w:val="22"/>
          <w:lang w:eastAsia="en-NZ"/>
        </w:rPr>
        <w:tab/>
      </w:r>
      <w:r>
        <w:rPr>
          <w:noProof/>
        </w:rPr>
        <w:t>What is the difference between these standards?</w:t>
      </w:r>
      <w:r>
        <w:rPr>
          <w:noProof/>
        </w:rPr>
        <w:tab/>
      </w:r>
      <w:r>
        <w:rPr>
          <w:noProof/>
        </w:rPr>
        <w:fldChar w:fldCharType="begin"/>
      </w:r>
      <w:r>
        <w:rPr>
          <w:noProof/>
        </w:rPr>
        <w:instrText xml:space="preserve"> PAGEREF _Toc469577161 \h </w:instrText>
      </w:r>
      <w:r>
        <w:rPr>
          <w:noProof/>
        </w:rPr>
      </w:r>
      <w:r>
        <w:rPr>
          <w:noProof/>
        </w:rPr>
        <w:fldChar w:fldCharType="separate"/>
      </w:r>
      <w:r w:rsidR="00AD27F1">
        <w:rPr>
          <w:noProof/>
        </w:rPr>
        <w:t>3</w:t>
      </w:r>
      <w:r>
        <w:rPr>
          <w:noProof/>
        </w:rPr>
        <w:fldChar w:fldCharType="end"/>
      </w:r>
    </w:p>
    <w:p w:rsidR="00A607B1" w:rsidRDefault="00A607B1">
      <w:pPr>
        <w:pStyle w:val="TOC2"/>
        <w:tabs>
          <w:tab w:val="left" w:pos="1134"/>
        </w:tabs>
        <w:rPr>
          <w:rFonts w:asciiTheme="minorHAnsi" w:eastAsiaTheme="minorEastAsia" w:hAnsiTheme="minorHAnsi" w:cstheme="minorBidi"/>
          <w:noProof/>
          <w:sz w:val="22"/>
          <w:szCs w:val="22"/>
          <w:lang w:eastAsia="en-NZ"/>
        </w:rPr>
      </w:pPr>
      <w:r>
        <w:rPr>
          <w:noProof/>
        </w:rPr>
        <w:t>1.5</w:t>
      </w:r>
      <w:r>
        <w:rPr>
          <w:rFonts w:asciiTheme="minorHAnsi" w:eastAsiaTheme="minorEastAsia" w:hAnsiTheme="minorHAnsi" w:cstheme="minorBidi"/>
          <w:noProof/>
          <w:sz w:val="22"/>
          <w:szCs w:val="22"/>
          <w:lang w:eastAsia="en-NZ"/>
        </w:rPr>
        <w:tab/>
      </w:r>
      <w:r>
        <w:rPr>
          <w:noProof/>
        </w:rPr>
        <w:t>What information do I need?</w:t>
      </w:r>
      <w:r>
        <w:rPr>
          <w:noProof/>
        </w:rPr>
        <w:tab/>
      </w:r>
      <w:r>
        <w:rPr>
          <w:noProof/>
        </w:rPr>
        <w:fldChar w:fldCharType="begin"/>
      </w:r>
      <w:r>
        <w:rPr>
          <w:noProof/>
        </w:rPr>
        <w:instrText xml:space="preserve"> PAGEREF _Toc469577162 \h </w:instrText>
      </w:r>
      <w:r>
        <w:rPr>
          <w:noProof/>
        </w:rPr>
      </w:r>
      <w:r>
        <w:rPr>
          <w:noProof/>
        </w:rPr>
        <w:fldChar w:fldCharType="separate"/>
      </w:r>
      <w:r w:rsidR="00AD27F1">
        <w:rPr>
          <w:noProof/>
        </w:rPr>
        <w:t>3</w:t>
      </w:r>
      <w:r>
        <w:rPr>
          <w:noProof/>
        </w:rPr>
        <w:fldChar w:fldCharType="end"/>
      </w:r>
    </w:p>
    <w:p w:rsidR="00A607B1" w:rsidRDefault="00A607B1">
      <w:pPr>
        <w:pStyle w:val="TOC2"/>
        <w:tabs>
          <w:tab w:val="left" w:pos="1134"/>
        </w:tabs>
        <w:rPr>
          <w:rFonts w:asciiTheme="minorHAnsi" w:eastAsiaTheme="minorEastAsia" w:hAnsiTheme="minorHAnsi" w:cstheme="minorBidi"/>
          <w:noProof/>
          <w:sz w:val="22"/>
          <w:szCs w:val="22"/>
          <w:lang w:eastAsia="en-NZ"/>
        </w:rPr>
      </w:pPr>
      <w:r>
        <w:rPr>
          <w:noProof/>
        </w:rPr>
        <w:t>1.6</w:t>
      </w:r>
      <w:r>
        <w:rPr>
          <w:rFonts w:asciiTheme="minorHAnsi" w:eastAsiaTheme="minorEastAsia" w:hAnsiTheme="minorHAnsi" w:cstheme="minorBidi"/>
          <w:noProof/>
          <w:sz w:val="22"/>
          <w:szCs w:val="22"/>
          <w:lang w:eastAsia="en-NZ"/>
        </w:rPr>
        <w:tab/>
      </w:r>
      <w:r>
        <w:rPr>
          <w:noProof/>
        </w:rPr>
        <w:t>Verification</w:t>
      </w:r>
      <w:r>
        <w:rPr>
          <w:noProof/>
        </w:rPr>
        <w:tab/>
      </w:r>
      <w:r>
        <w:rPr>
          <w:noProof/>
        </w:rPr>
        <w:fldChar w:fldCharType="begin"/>
      </w:r>
      <w:r>
        <w:rPr>
          <w:noProof/>
        </w:rPr>
        <w:instrText xml:space="preserve"> PAGEREF _Toc469577163 \h </w:instrText>
      </w:r>
      <w:r>
        <w:rPr>
          <w:noProof/>
        </w:rPr>
      </w:r>
      <w:r>
        <w:rPr>
          <w:noProof/>
        </w:rPr>
        <w:fldChar w:fldCharType="separate"/>
      </w:r>
      <w:r w:rsidR="00AD27F1">
        <w:rPr>
          <w:noProof/>
        </w:rPr>
        <w:t>3</w:t>
      </w:r>
      <w:r>
        <w:rPr>
          <w:noProof/>
        </w:rPr>
        <w:fldChar w:fldCharType="end"/>
      </w:r>
    </w:p>
    <w:p w:rsidR="00A607B1" w:rsidRDefault="00A607B1">
      <w:pPr>
        <w:pStyle w:val="TOC3"/>
        <w:tabs>
          <w:tab w:val="left" w:pos="1799"/>
          <w:tab w:val="right" w:pos="8494"/>
        </w:tabs>
        <w:rPr>
          <w:rFonts w:asciiTheme="minorHAnsi" w:eastAsiaTheme="minorEastAsia" w:hAnsiTheme="minorHAnsi" w:cstheme="minorBidi"/>
          <w:noProof/>
          <w:sz w:val="22"/>
          <w:szCs w:val="22"/>
          <w:lang w:eastAsia="en-NZ"/>
        </w:rPr>
      </w:pPr>
      <w:r>
        <w:rPr>
          <w:noProof/>
        </w:rPr>
        <w:t>1.6.1</w:t>
      </w:r>
      <w:r>
        <w:rPr>
          <w:rFonts w:asciiTheme="minorHAnsi" w:eastAsiaTheme="minorEastAsia" w:hAnsiTheme="minorHAnsi" w:cstheme="minorBidi"/>
          <w:noProof/>
          <w:sz w:val="22"/>
          <w:szCs w:val="22"/>
          <w:lang w:eastAsia="en-NZ"/>
        </w:rPr>
        <w:tab/>
      </w:r>
      <w:r>
        <w:rPr>
          <w:noProof/>
        </w:rPr>
        <w:t>Should I have my emissions inventory verified?</w:t>
      </w:r>
      <w:r>
        <w:rPr>
          <w:noProof/>
        </w:rPr>
        <w:tab/>
      </w:r>
      <w:r>
        <w:rPr>
          <w:noProof/>
        </w:rPr>
        <w:fldChar w:fldCharType="begin"/>
      </w:r>
      <w:r>
        <w:rPr>
          <w:noProof/>
        </w:rPr>
        <w:instrText xml:space="preserve"> PAGEREF _Toc469577164 \h </w:instrText>
      </w:r>
      <w:r>
        <w:rPr>
          <w:noProof/>
        </w:rPr>
      </w:r>
      <w:r>
        <w:rPr>
          <w:noProof/>
        </w:rPr>
        <w:fldChar w:fldCharType="separate"/>
      </w:r>
      <w:r w:rsidR="00AD27F1">
        <w:rPr>
          <w:noProof/>
        </w:rPr>
        <w:t>3</w:t>
      </w:r>
      <w:r>
        <w:rPr>
          <w:noProof/>
        </w:rPr>
        <w:fldChar w:fldCharType="end"/>
      </w:r>
    </w:p>
    <w:p w:rsidR="00A607B1" w:rsidRDefault="00A607B1">
      <w:pPr>
        <w:pStyle w:val="TOC3"/>
        <w:tabs>
          <w:tab w:val="left" w:pos="1799"/>
          <w:tab w:val="right" w:pos="8494"/>
        </w:tabs>
        <w:rPr>
          <w:rFonts w:asciiTheme="minorHAnsi" w:eastAsiaTheme="minorEastAsia" w:hAnsiTheme="minorHAnsi" w:cstheme="minorBidi"/>
          <w:noProof/>
          <w:sz w:val="22"/>
          <w:szCs w:val="22"/>
          <w:lang w:eastAsia="en-NZ"/>
        </w:rPr>
      </w:pPr>
      <w:r>
        <w:rPr>
          <w:noProof/>
        </w:rPr>
        <w:t>1.6.2</w:t>
      </w:r>
      <w:r>
        <w:rPr>
          <w:rFonts w:asciiTheme="minorHAnsi" w:eastAsiaTheme="minorEastAsia" w:hAnsiTheme="minorHAnsi" w:cstheme="minorBidi"/>
          <w:noProof/>
          <w:sz w:val="22"/>
          <w:szCs w:val="22"/>
          <w:lang w:eastAsia="en-NZ"/>
        </w:rPr>
        <w:tab/>
      </w:r>
      <w:r>
        <w:rPr>
          <w:noProof/>
        </w:rPr>
        <w:t>Who should verify my inventory?</w:t>
      </w:r>
      <w:r>
        <w:rPr>
          <w:noProof/>
        </w:rPr>
        <w:tab/>
      </w:r>
      <w:r>
        <w:rPr>
          <w:noProof/>
        </w:rPr>
        <w:fldChar w:fldCharType="begin"/>
      </w:r>
      <w:r>
        <w:rPr>
          <w:noProof/>
        </w:rPr>
        <w:instrText xml:space="preserve"> PAGEREF _Toc469577165 \h </w:instrText>
      </w:r>
      <w:r>
        <w:rPr>
          <w:noProof/>
        </w:rPr>
      </w:r>
      <w:r>
        <w:rPr>
          <w:noProof/>
        </w:rPr>
        <w:fldChar w:fldCharType="separate"/>
      </w:r>
      <w:r w:rsidR="00AD27F1">
        <w:rPr>
          <w:noProof/>
        </w:rPr>
        <w:t>4</w:t>
      </w:r>
      <w:r>
        <w:rPr>
          <w:noProof/>
        </w:rPr>
        <w:fldChar w:fldCharType="end"/>
      </w:r>
    </w:p>
    <w:p w:rsidR="00A607B1" w:rsidRDefault="00A607B1">
      <w:pPr>
        <w:pStyle w:val="TOC1"/>
        <w:rPr>
          <w:rFonts w:asciiTheme="minorHAnsi" w:eastAsiaTheme="minorEastAsia" w:hAnsiTheme="minorHAnsi" w:cstheme="minorBidi"/>
          <w:noProof/>
          <w:sz w:val="22"/>
          <w:szCs w:val="22"/>
          <w:lang w:eastAsia="en-NZ"/>
        </w:rPr>
      </w:pPr>
      <w:r>
        <w:rPr>
          <w:noProof/>
        </w:rPr>
        <w:t>2</w:t>
      </w:r>
      <w:r>
        <w:rPr>
          <w:rFonts w:asciiTheme="minorHAnsi" w:eastAsiaTheme="minorEastAsia" w:hAnsiTheme="minorHAnsi" w:cstheme="minorBidi"/>
          <w:noProof/>
          <w:sz w:val="22"/>
          <w:szCs w:val="22"/>
          <w:lang w:eastAsia="en-NZ"/>
        </w:rPr>
        <w:tab/>
      </w:r>
      <w:r>
        <w:rPr>
          <w:noProof/>
        </w:rPr>
        <w:t>Emission factors and methods – context</w:t>
      </w:r>
      <w:r>
        <w:rPr>
          <w:noProof/>
        </w:rPr>
        <w:tab/>
      </w:r>
      <w:r>
        <w:rPr>
          <w:noProof/>
        </w:rPr>
        <w:fldChar w:fldCharType="begin"/>
      </w:r>
      <w:r>
        <w:rPr>
          <w:noProof/>
        </w:rPr>
        <w:instrText xml:space="preserve"> PAGEREF _Toc469577166 \h </w:instrText>
      </w:r>
      <w:r>
        <w:rPr>
          <w:noProof/>
        </w:rPr>
      </w:r>
      <w:r>
        <w:rPr>
          <w:noProof/>
        </w:rPr>
        <w:fldChar w:fldCharType="separate"/>
      </w:r>
      <w:r w:rsidR="00AD27F1">
        <w:rPr>
          <w:noProof/>
        </w:rPr>
        <w:t>5</w:t>
      </w:r>
      <w:r>
        <w:rPr>
          <w:noProof/>
        </w:rPr>
        <w:fldChar w:fldCharType="end"/>
      </w:r>
    </w:p>
    <w:p w:rsidR="00A607B1" w:rsidRDefault="00A607B1">
      <w:pPr>
        <w:pStyle w:val="TOC2"/>
        <w:tabs>
          <w:tab w:val="left" w:pos="1134"/>
        </w:tabs>
        <w:rPr>
          <w:rFonts w:asciiTheme="minorHAnsi" w:eastAsiaTheme="minorEastAsia" w:hAnsiTheme="minorHAnsi" w:cstheme="minorBidi"/>
          <w:noProof/>
          <w:sz w:val="22"/>
          <w:szCs w:val="22"/>
          <w:lang w:eastAsia="en-NZ"/>
        </w:rPr>
      </w:pPr>
      <w:r>
        <w:rPr>
          <w:noProof/>
        </w:rPr>
        <w:t>2.1</w:t>
      </w:r>
      <w:r>
        <w:rPr>
          <w:rFonts w:asciiTheme="minorHAnsi" w:eastAsiaTheme="minorEastAsia" w:hAnsiTheme="minorHAnsi" w:cstheme="minorBidi"/>
          <w:noProof/>
          <w:sz w:val="22"/>
          <w:szCs w:val="22"/>
          <w:lang w:eastAsia="en-NZ"/>
        </w:rPr>
        <w:tab/>
      </w:r>
      <w:r>
        <w:rPr>
          <w:noProof/>
        </w:rPr>
        <w:t>Timing of emission factors and annual reporting</w:t>
      </w:r>
      <w:r>
        <w:rPr>
          <w:noProof/>
        </w:rPr>
        <w:tab/>
      </w:r>
      <w:r>
        <w:rPr>
          <w:noProof/>
        </w:rPr>
        <w:fldChar w:fldCharType="begin"/>
      </w:r>
      <w:r>
        <w:rPr>
          <w:noProof/>
        </w:rPr>
        <w:instrText xml:space="preserve"> PAGEREF _Toc469577167 \h </w:instrText>
      </w:r>
      <w:r>
        <w:rPr>
          <w:noProof/>
        </w:rPr>
      </w:r>
      <w:r>
        <w:rPr>
          <w:noProof/>
        </w:rPr>
        <w:fldChar w:fldCharType="separate"/>
      </w:r>
      <w:r w:rsidR="00AD27F1">
        <w:rPr>
          <w:noProof/>
        </w:rPr>
        <w:t>6</w:t>
      </w:r>
      <w:r>
        <w:rPr>
          <w:noProof/>
        </w:rPr>
        <w:fldChar w:fldCharType="end"/>
      </w:r>
    </w:p>
    <w:p w:rsidR="00A607B1" w:rsidRDefault="00A607B1">
      <w:pPr>
        <w:pStyle w:val="TOC2"/>
        <w:tabs>
          <w:tab w:val="left" w:pos="1134"/>
        </w:tabs>
        <w:rPr>
          <w:rFonts w:asciiTheme="minorHAnsi" w:eastAsiaTheme="minorEastAsia" w:hAnsiTheme="minorHAnsi" w:cstheme="minorBidi"/>
          <w:noProof/>
          <w:sz w:val="22"/>
          <w:szCs w:val="22"/>
          <w:lang w:eastAsia="en-NZ"/>
        </w:rPr>
      </w:pPr>
      <w:r>
        <w:rPr>
          <w:noProof/>
        </w:rPr>
        <w:t>2.2</w:t>
      </w:r>
      <w:r>
        <w:rPr>
          <w:rFonts w:asciiTheme="minorHAnsi" w:eastAsiaTheme="minorEastAsia" w:hAnsiTheme="minorHAnsi" w:cstheme="minorBidi"/>
          <w:noProof/>
          <w:sz w:val="22"/>
          <w:szCs w:val="22"/>
          <w:lang w:eastAsia="en-NZ"/>
        </w:rPr>
        <w:tab/>
      </w:r>
      <w:r>
        <w:rPr>
          <w:noProof/>
        </w:rPr>
        <w:t xml:space="preserve">The concept of </w:t>
      </w:r>
      <w:r w:rsidRPr="00D46612">
        <w:rPr>
          <w:rFonts w:cs="Arial"/>
          <w:noProof/>
        </w:rPr>
        <w:t>‘</w:t>
      </w:r>
      <w:r>
        <w:rPr>
          <w:noProof/>
        </w:rPr>
        <w:t>scope</w:t>
      </w:r>
      <w:r w:rsidRPr="00D46612">
        <w:rPr>
          <w:rFonts w:cs="Arial"/>
          <w:noProof/>
        </w:rPr>
        <w:t>’</w:t>
      </w:r>
      <w:r>
        <w:rPr>
          <w:noProof/>
        </w:rPr>
        <w:tab/>
      </w:r>
      <w:r>
        <w:rPr>
          <w:noProof/>
        </w:rPr>
        <w:fldChar w:fldCharType="begin"/>
      </w:r>
      <w:r>
        <w:rPr>
          <w:noProof/>
        </w:rPr>
        <w:instrText xml:space="preserve"> PAGEREF _Toc469577168 \h </w:instrText>
      </w:r>
      <w:r>
        <w:rPr>
          <w:noProof/>
        </w:rPr>
      </w:r>
      <w:r>
        <w:rPr>
          <w:noProof/>
        </w:rPr>
        <w:fldChar w:fldCharType="separate"/>
      </w:r>
      <w:r w:rsidR="00AD27F1">
        <w:rPr>
          <w:noProof/>
        </w:rPr>
        <w:t>6</w:t>
      </w:r>
      <w:r>
        <w:rPr>
          <w:noProof/>
        </w:rPr>
        <w:fldChar w:fldCharType="end"/>
      </w:r>
    </w:p>
    <w:p w:rsidR="00A607B1" w:rsidRDefault="00A607B1">
      <w:pPr>
        <w:pStyle w:val="TOC1"/>
        <w:rPr>
          <w:rFonts w:asciiTheme="minorHAnsi" w:eastAsiaTheme="minorEastAsia" w:hAnsiTheme="minorHAnsi" w:cstheme="minorBidi"/>
          <w:noProof/>
          <w:sz w:val="22"/>
          <w:szCs w:val="22"/>
          <w:lang w:eastAsia="en-NZ"/>
        </w:rPr>
      </w:pPr>
      <w:r>
        <w:rPr>
          <w:noProof/>
        </w:rPr>
        <w:t>3</w:t>
      </w:r>
      <w:r>
        <w:rPr>
          <w:rFonts w:asciiTheme="minorHAnsi" w:eastAsiaTheme="minorEastAsia" w:hAnsiTheme="minorHAnsi" w:cstheme="minorBidi"/>
          <w:noProof/>
          <w:sz w:val="22"/>
          <w:szCs w:val="22"/>
          <w:lang w:eastAsia="en-NZ"/>
        </w:rPr>
        <w:tab/>
      </w:r>
      <w:r>
        <w:rPr>
          <w:noProof/>
        </w:rPr>
        <w:t>Emission factors and methods</w:t>
      </w:r>
      <w:r>
        <w:rPr>
          <w:noProof/>
        </w:rPr>
        <w:tab/>
      </w:r>
      <w:r>
        <w:rPr>
          <w:noProof/>
        </w:rPr>
        <w:fldChar w:fldCharType="begin"/>
      </w:r>
      <w:r>
        <w:rPr>
          <w:noProof/>
        </w:rPr>
        <w:instrText xml:space="preserve"> PAGEREF _Toc469577169 \h </w:instrText>
      </w:r>
      <w:r>
        <w:rPr>
          <w:noProof/>
        </w:rPr>
      </w:r>
      <w:r>
        <w:rPr>
          <w:noProof/>
        </w:rPr>
        <w:fldChar w:fldCharType="separate"/>
      </w:r>
      <w:r w:rsidR="00AD27F1">
        <w:rPr>
          <w:noProof/>
        </w:rPr>
        <w:t>8</w:t>
      </w:r>
      <w:r>
        <w:rPr>
          <w:noProof/>
        </w:rPr>
        <w:fldChar w:fldCharType="end"/>
      </w:r>
    </w:p>
    <w:p w:rsidR="00A607B1" w:rsidRDefault="00A607B1">
      <w:pPr>
        <w:pStyle w:val="TOC2"/>
        <w:tabs>
          <w:tab w:val="left" w:pos="1134"/>
        </w:tabs>
        <w:rPr>
          <w:rFonts w:asciiTheme="minorHAnsi" w:eastAsiaTheme="minorEastAsia" w:hAnsiTheme="minorHAnsi" w:cstheme="minorBidi"/>
          <w:noProof/>
          <w:sz w:val="22"/>
          <w:szCs w:val="22"/>
          <w:lang w:eastAsia="en-NZ"/>
        </w:rPr>
      </w:pPr>
      <w:r>
        <w:rPr>
          <w:noProof/>
        </w:rPr>
        <w:t>3.1</w:t>
      </w:r>
      <w:r>
        <w:rPr>
          <w:rFonts w:asciiTheme="minorHAnsi" w:eastAsiaTheme="minorEastAsia" w:hAnsiTheme="minorHAnsi" w:cstheme="minorBidi"/>
          <w:noProof/>
          <w:sz w:val="22"/>
          <w:szCs w:val="22"/>
          <w:lang w:eastAsia="en-NZ"/>
        </w:rPr>
        <w:tab/>
      </w:r>
      <w:r>
        <w:rPr>
          <w:noProof/>
        </w:rPr>
        <w:t>Scope 1: Direct emissions</w:t>
      </w:r>
      <w:r>
        <w:rPr>
          <w:noProof/>
        </w:rPr>
        <w:tab/>
      </w:r>
      <w:r>
        <w:rPr>
          <w:noProof/>
        </w:rPr>
        <w:fldChar w:fldCharType="begin"/>
      </w:r>
      <w:r>
        <w:rPr>
          <w:noProof/>
        </w:rPr>
        <w:instrText xml:space="preserve"> PAGEREF _Toc469577170 \h </w:instrText>
      </w:r>
      <w:r>
        <w:rPr>
          <w:noProof/>
        </w:rPr>
      </w:r>
      <w:r>
        <w:rPr>
          <w:noProof/>
        </w:rPr>
        <w:fldChar w:fldCharType="separate"/>
      </w:r>
      <w:r w:rsidR="00AD27F1">
        <w:rPr>
          <w:noProof/>
        </w:rPr>
        <w:t>8</w:t>
      </w:r>
      <w:r>
        <w:rPr>
          <w:noProof/>
        </w:rPr>
        <w:fldChar w:fldCharType="end"/>
      </w:r>
    </w:p>
    <w:p w:rsidR="00A607B1" w:rsidRDefault="00A607B1">
      <w:pPr>
        <w:pStyle w:val="TOC3"/>
        <w:tabs>
          <w:tab w:val="left" w:pos="1799"/>
          <w:tab w:val="right" w:pos="8494"/>
        </w:tabs>
        <w:rPr>
          <w:rFonts w:asciiTheme="minorHAnsi" w:eastAsiaTheme="minorEastAsia" w:hAnsiTheme="minorHAnsi" w:cstheme="minorBidi"/>
          <w:noProof/>
          <w:sz w:val="22"/>
          <w:szCs w:val="22"/>
          <w:lang w:eastAsia="en-NZ"/>
        </w:rPr>
      </w:pPr>
      <w:r>
        <w:rPr>
          <w:noProof/>
        </w:rPr>
        <w:t>3.1.1</w:t>
      </w:r>
      <w:r>
        <w:rPr>
          <w:rFonts w:asciiTheme="minorHAnsi" w:eastAsiaTheme="minorEastAsia" w:hAnsiTheme="minorHAnsi" w:cstheme="minorBidi"/>
          <w:noProof/>
          <w:sz w:val="22"/>
          <w:szCs w:val="22"/>
          <w:lang w:eastAsia="en-NZ"/>
        </w:rPr>
        <w:tab/>
      </w:r>
      <w:r>
        <w:rPr>
          <w:noProof/>
        </w:rPr>
        <w:t>Stationary combustion of fuels</w:t>
      </w:r>
      <w:r>
        <w:rPr>
          <w:noProof/>
        </w:rPr>
        <w:tab/>
      </w:r>
      <w:r>
        <w:rPr>
          <w:noProof/>
        </w:rPr>
        <w:fldChar w:fldCharType="begin"/>
      </w:r>
      <w:r>
        <w:rPr>
          <w:noProof/>
        </w:rPr>
        <w:instrText xml:space="preserve"> PAGEREF _Toc469577171 \h </w:instrText>
      </w:r>
      <w:r>
        <w:rPr>
          <w:noProof/>
        </w:rPr>
      </w:r>
      <w:r>
        <w:rPr>
          <w:noProof/>
        </w:rPr>
        <w:fldChar w:fldCharType="separate"/>
      </w:r>
      <w:r w:rsidR="00AD27F1">
        <w:rPr>
          <w:noProof/>
        </w:rPr>
        <w:t>8</w:t>
      </w:r>
      <w:r>
        <w:rPr>
          <w:noProof/>
        </w:rPr>
        <w:fldChar w:fldCharType="end"/>
      </w:r>
    </w:p>
    <w:p w:rsidR="00A607B1" w:rsidRDefault="00A607B1">
      <w:pPr>
        <w:pStyle w:val="TOC3"/>
        <w:tabs>
          <w:tab w:val="left" w:pos="1799"/>
          <w:tab w:val="right" w:pos="8494"/>
        </w:tabs>
        <w:rPr>
          <w:rFonts w:asciiTheme="minorHAnsi" w:eastAsiaTheme="minorEastAsia" w:hAnsiTheme="minorHAnsi" w:cstheme="minorBidi"/>
          <w:noProof/>
          <w:sz w:val="22"/>
          <w:szCs w:val="22"/>
          <w:lang w:eastAsia="en-NZ"/>
        </w:rPr>
      </w:pPr>
      <w:r>
        <w:rPr>
          <w:noProof/>
        </w:rPr>
        <w:t>3.1.2</w:t>
      </w:r>
      <w:r>
        <w:rPr>
          <w:rFonts w:asciiTheme="minorHAnsi" w:eastAsiaTheme="minorEastAsia" w:hAnsiTheme="minorHAnsi" w:cstheme="minorBidi"/>
          <w:noProof/>
          <w:sz w:val="22"/>
          <w:szCs w:val="22"/>
          <w:lang w:eastAsia="en-NZ"/>
        </w:rPr>
        <w:tab/>
      </w:r>
      <w:r>
        <w:rPr>
          <w:noProof/>
        </w:rPr>
        <w:t>Transport fuels where fuel use data is available</w:t>
      </w:r>
      <w:r>
        <w:rPr>
          <w:noProof/>
        </w:rPr>
        <w:tab/>
      </w:r>
      <w:r>
        <w:rPr>
          <w:noProof/>
        </w:rPr>
        <w:fldChar w:fldCharType="begin"/>
      </w:r>
      <w:r>
        <w:rPr>
          <w:noProof/>
        </w:rPr>
        <w:instrText xml:space="preserve"> PAGEREF _Toc469577172 \h </w:instrText>
      </w:r>
      <w:r>
        <w:rPr>
          <w:noProof/>
        </w:rPr>
      </w:r>
      <w:r>
        <w:rPr>
          <w:noProof/>
        </w:rPr>
        <w:fldChar w:fldCharType="separate"/>
      </w:r>
      <w:r w:rsidR="00AD27F1">
        <w:rPr>
          <w:noProof/>
        </w:rPr>
        <w:t>10</w:t>
      </w:r>
      <w:r>
        <w:rPr>
          <w:noProof/>
        </w:rPr>
        <w:fldChar w:fldCharType="end"/>
      </w:r>
    </w:p>
    <w:p w:rsidR="00A607B1" w:rsidRDefault="00A607B1">
      <w:pPr>
        <w:pStyle w:val="TOC3"/>
        <w:tabs>
          <w:tab w:val="left" w:pos="1799"/>
          <w:tab w:val="right" w:pos="8494"/>
        </w:tabs>
        <w:rPr>
          <w:rFonts w:asciiTheme="minorHAnsi" w:eastAsiaTheme="minorEastAsia" w:hAnsiTheme="minorHAnsi" w:cstheme="minorBidi"/>
          <w:noProof/>
          <w:sz w:val="22"/>
          <w:szCs w:val="22"/>
          <w:lang w:eastAsia="en-NZ"/>
        </w:rPr>
      </w:pPr>
      <w:r>
        <w:rPr>
          <w:noProof/>
        </w:rPr>
        <w:t>3.1.3</w:t>
      </w:r>
      <w:r>
        <w:rPr>
          <w:rFonts w:asciiTheme="minorHAnsi" w:eastAsiaTheme="minorEastAsia" w:hAnsiTheme="minorHAnsi" w:cstheme="minorBidi"/>
          <w:noProof/>
          <w:sz w:val="22"/>
          <w:szCs w:val="22"/>
          <w:lang w:eastAsia="en-NZ"/>
        </w:rPr>
        <w:tab/>
      </w:r>
      <w:r>
        <w:rPr>
          <w:noProof/>
        </w:rPr>
        <w:t>Transport where no fuel data is available (based on distance travelled)</w:t>
      </w:r>
      <w:r>
        <w:rPr>
          <w:noProof/>
        </w:rPr>
        <w:tab/>
      </w:r>
      <w:r>
        <w:rPr>
          <w:noProof/>
        </w:rPr>
        <w:fldChar w:fldCharType="begin"/>
      </w:r>
      <w:r>
        <w:rPr>
          <w:noProof/>
        </w:rPr>
        <w:instrText xml:space="preserve"> PAGEREF _Toc469577173 \h </w:instrText>
      </w:r>
      <w:r>
        <w:rPr>
          <w:noProof/>
        </w:rPr>
      </w:r>
      <w:r>
        <w:rPr>
          <w:noProof/>
        </w:rPr>
        <w:fldChar w:fldCharType="separate"/>
      </w:r>
      <w:r w:rsidR="00AD27F1">
        <w:rPr>
          <w:noProof/>
        </w:rPr>
        <w:t>11</w:t>
      </w:r>
      <w:r>
        <w:rPr>
          <w:noProof/>
        </w:rPr>
        <w:fldChar w:fldCharType="end"/>
      </w:r>
    </w:p>
    <w:p w:rsidR="00A607B1" w:rsidRDefault="00A607B1">
      <w:pPr>
        <w:pStyle w:val="TOC3"/>
        <w:tabs>
          <w:tab w:val="left" w:pos="1799"/>
          <w:tab w:val="right" w:pos="8494"/>
        </w:tabs>
        <w:rPr>
          <w:rFonts w:asciiTheme="minorHAnsi" w:eastAsiaTheme="minorEastAsia" w:hAnsiTheme="minorHAnsi" w:cstheme="minorBidi"/>
          <w:noProof/>
          <w:sz w:val="22"/>
          <w:szCs w:val="22"/>
          <w:lang w:eastAsia="en-NZ"/>
        </w:rPr>
      </w:pPr>
      <w:r>
        <w:rPr>
          <w:noProof/>
        </w:rPr>
        <w:t>3.1.4</w:t>
      </w:r>
      <w:r>
        <w:rPr>
          <w:rFonts w:asciiTheme="minorHAnsi" w:eastAsiaTheme="minorEastAsia" w:hAnsiTheme="minorHAnsi" w:cstheme="minorBidi"/>
          <w:noProof/>
          <w:sz w:val="22"/>
          <w:szCs w:val="22"/>
          <w:lang w:eastAsia="en-NZ"/>
        </w:rPr>
        <w:tab/>
      </w:r>
      <w:r>
        <w:rPr>
          <w:noProof/>
        </w:rPr>
        <w:t>Taxis and rental cars</w:t>
      </w:r>
      <w:r>
        <w:rPr>
          <w:noProof/>
        </w:rPr>
        <w:tab/>
      </w:r>
      <w:r>
        <w:rPr>
          <w:noProof/>
        </w:rPr>
        <w:fldChar w:fldCharType="begin"/>
      </w:r>
      <w:r>
        <w:rPr>
          <w:noProof/>
        </w:rPr>
        <w:instrText xml:space="preserve"> PAGEREF _Toc469577174 \h </w:instrText>
      </w:r>
      <w:r>
        <w:rPr>
          <w:noProof/>
        </w:rPr>
      </w:r>
      <w:r>
        <w:rPr>
          <w:noProof/>
        </w:rPr>
        <w:fldChar w:fldCharType="separate"/>
      </w:r>
      <w:r w:rsidR="00AD27F1">
        <w:rPr>
          <w:noProof/>
        </w:rPr>
        <w:t>13</w:t>
      </w:r>
      <w:r>
        <w:rPr>
          <w:noProof/>
        </w:rPr>
        <w:fldChar w:fldCharType="end"/>
      </w:r>
    </w:p>
    <w:p w:rsidR="00A607B1" w:rsidRDefault="00A607B1">
      <w:pPr>
        <w:pStyle w:val="TOC3"/>
        <w:tabs>
          <w:tab w:val="left" w:pos="1799"/>
          <w:tab w:val="right" w:pos="8494"/>
        </w:tabs>
        <w:rPr>
          <w:rFonts w:asciiTheme="minorHAnsi" w:eastAsiaTheme="minorEastAsia" w:hAnsiTheme="minorHAnsi" w:cstheme="minorBidi"/>
          <w:noProof/>
          <w:sz w:val="22"/>
          <w:szCs w:val="22"/>
          <w:lang w:eastAsia="en-NZ"/>
        </w:rPr>
      </w:pPr>
      <w:r>
        <w:rPr>
          <w:noProof/>
        </w:rPr>
        <w:t>3.1.5</w:t>
      </w:r>
      <w:r>
        <w:rPr>
          <w:rFonts w:asciiTheme="minorHAnsi" w:eastAsiaTheme="minorEastAsia" w:hAnsiTheme="minorHAnsi" w:cstheme="minorBidi"/>
          <w:noProof/>
          <w:sz w:val="22"/>
          <w:szCs w:val="22"/>
          <w:lang w:eastAsia="en-NZ"/>
        </w:rPr>
        <w:tab/>
      </w:r>
      <w:r>
        <w:rPr>
          <w:noProof/>
        </w:rPr>
        <w:t>Refrigerants</w:t>
      </w:r>
      <w:r>
        <w:rPr>
          <w:noProof/>
        </w:rPr>
        <w:tab/>
      </w:r>
      <w:r>
        <w:rPr>
          <w:noProof/>
        </w:rPr>
        <w:fldChar w:fldCharType="begin"/>
      </w:r>
      <w:r>
        <w:rPr>
          <w:noProof/>
        </w:rPr>
        <w:instrText xml:space="preserve"> PAGEREF _Toc469577175 \h </w:instrText>
      </w:r>
      <w:r>
        <w:rPr>
          <w:noProof/>
        </w:rPr>
      </w:r>
      <w:r>
        <w:rPr>
          <w:noProof/>
        </w:rPr>
        <w:fldChar w:fldCharType="separate"/>
      </w:r>
      <w:r w:rsidR="00AD27F1">
        <w:rPr>
          <w:noProof/>
        </w:rPr>
        <w:t>14</w:t>
      </w:r>
      <w:r>
        <w:rPr>
          <w:noProof/>
        </w:rPr>
        <w:fldChar w:fldCharType="end"/>
      </w:r>
    </w:p>
    <w:p w:rsidR="00A607B1" w:rsidRDefault="00A607B1">
      <w:pPr>
        <w:pStyle w:val="TOC2"/>
        <w:tabs>
          <w:tab w:val="left" w:pos="1134"/>
        </w:tabs>
        <w:rPr>
          <w:rFonts w:asciiTheme="minorHAnsi" w:eastAsiaTheme="minorEastAsia" w:hAnsiTheme="minorHAnsi" w:cstheme="minorBidi"/>
          <w:noProof/>
          <w:sz w:val="22"/>
          <w:szCs w:val="22"/>
          <w:lang w:eastAsia="en-NZ"/>
        </w:rPr>
      </w:pPr>
      <w:r>
        <w:rPr>
          <w:noProof/>
        </w:rPr>
        <w:t>3.2</w:t>
      </w:r>
      <w:r>
        <w:rPr>
          <w:rFonts w:asciiTheme="minorHAnsi" w:eastAsiaTheme="minorEastAsia" w:hAnsiTheme="minorHAnsi" w:cstheme="minorBidi"/>
          <w:noProof/>
          <w:sz w:val="22"/>
          <w:szCs w:val="22"/>
          <w:lang w:eastAsia="en-NZ"/>
        </w:rPr>
        <w:tab/>
      </w:r>
      <w:r>
        <w:rPr>
          <w:noProof/>
        </w:rPr>
        <w:t>Scope 2: Electricity indirect emissions</w:t>
      </w:r>
      <w:r>
        <w:rPr>
          <w:noProof/>
        </w:rPr>
        <w:tab/>
      </w:r>
      <w:r>
        <w:rPr>
          <w:noProof/>
        </w:rPr>
        <w:fldChar w:fldCharType="begin"/>
      </w:r>
      <w:r>
        <w:rPr>
          <w:noProof/>
        </w:rPr>
        <w:instrText xml:space="preserve"> PAGEREF _Toc469577176 \h </w:instrText>
      </w:r>
      <w:r>
        <w:rPr>
          <w:noProof/>
        </w:rPr>
      </w:r>
      <w:r>
        <w:rPr>
          <w:noProof/>
        </w:rPr>
        <w:fldChar w:fldCharType="separate"/>
      </w:r>
      <w:r w:rsidR="00AD27F1">
        <w:rPr>
          <w:noProof/>
        </w:rPr>
        <w:t>15</w:t>
      </w:r>
      <w:r>
        <w:rPr>
          <w:noProof/>
        </w:rPr>
        <w:fldChar w:fldCharType="end"/>
      </w:r>
    </w:p>
    <w:p w:rsidR="00A607B1" w:rsidRDefault="00A607B1">
      <w:pPr>
        <w:pStyle w:val="TOC3"/>
        <w:tabs>
          <w:tab w:val="left" w:pos="1799"/>
          <w:tab w:val="right" w:pos="8494"/>
        </w:tabs>
        <w:rPr>
          <w:rFonts w:asciiTheme="minorHAnsi" w:eastAsiaTheme="minorEastAsia" w:hAnsiTheme="minorHAnsi" w:cstheme="minorBidi"/>
          <w:noProof/>
          <w:sz w:val="22"/>
          <w:szCs w:val="22"/>
          <w:lang w:eastAsia="en-NZ"/>
        </w:rPr>
      </w:pPr>
      <w:r>
        <w:rPr>
          <w:noProof/>
        </w:rPr>
        <w:t>3.2.1</w:t>
      </w:r>
      <w:r>
        <w:rPr>
          <w:rFonts w:asciiTheme="minorHAnsi" w:eastAsiaTheme="minorEastAsia" w:hAnsiTheme="minorHAnsi" w:cstheme="minorBidi"/>
          <w:noProof/>
          <w:sz w:val="22"/>
          <w:szCs w:val="22"/>
          <w:lang w:eastAsia="en-NZ"/>
        </w:rPr>
        <w:tab/>
      </w:r>
      <w:r>
        <w:rPr>
          <w:noProof/>
        </w:rPr>
        <w:t>Purchased electricity</w:t>
      </w:r>
      <w:r>
        <w:rPr>
          <w:noProof/>
        </w:rPr>
        <w:tab/>
      </w:r>
      <w:r>
        <w:rPr>
          <w:noProof/>
        </w:rPr>
        <w:fldChar w:fldCharType="begin"/>
      </w:r>
      <w:r>
        <w:rPr>
          <w:noProof/>
        </w:rPr>
        <w:instrText xml:space="preserve"> PAGEREF _Toc469577177 \h </w:instrText>
      </w:r>
      <w:r>
        <w:rPr>
          <w:noProof/>
        </w:rPr>
      </w:r>
      <w:r>
        <w:rPr>
          <w:noProof/>
        </w:rPr>
        <w:fldChar w:fldCharType="separate"/>
      </w:r>
      <w:r w:rsidR="00AD27F1">
        <w:rPr>
          <w:noProof/>
        </w:rPr>
        <w:t>15</w:t>
      </w:r>
      <w:r>
        <w:rPr>
          <w:noProof/>
        </w:rPr>
        <w:fldChar w:fldCharType="end"/>
      </w:r>
    </w:p>
    <w:p w:rsidR="00A607B1" w:rsidRDefault="00A607B1">
      <w:pPr>
        <w:pStyle w:val="TOC2"/>
        <w:tabs>
          <w:tab w:val="left" w:pos="1134"/>
        </w:tabs>
        <w:rPr>
          <w:rFonts w:asciiTheme="minorHAnsi" w:eastAsiaTheme="minorEastAsia" w:hAnsiTheme="minorHAnsi" w:cstheme="minorBidi"/>
          <w:noProof/>
          <w:sz w:val="22"/>
          <w:szCs w:val="22"/>
          <w:lang w:eastAsia="en-NZ"/>
        </w:rPr>
      </w:pPr>
      <w:r>
        <w:rPr>
          <w:noProof/>
        </w:rPr>
        <w:t>3.3</w:t>
      </w:r>
      <w:r>
        <w:rPr>
          <w:rFonts w:asciiTheme="minorHAnsi" w:eastAsiaTheme="minorEastAsia" w:hAnsiTheme="minorHAnsi" w:cstheme="minorBidi"/>
          <w:noProof/>
          <w:sz w:val="22"/>
          <w:szCs w:val="22"/>
          <w:lang w:eastAsia="en-NZ"/>
        </w:rPr>
        <w:tab/>
      </w:r>
      <w:r>
        <w:rPr>
          <w:noProof/>
        </w:rPr>
        <w:t>Scope 3: Other indirect emissions</w:t>
      </w:r>
      <w:r>
        <w:rPr>
          <w:noProof/>
        </w:rPr>
        <w:tab/>
      </w:r>
      <w:r>
        <w:rPr>
          <w:noProof/>
        </w:rPr>
        <w:fldChar w:fldCharType="begin"/>
      </w:r>
      <w:r>
        <w:rPr>
          <w:noProof/>
        </w:rPr>
        <w:instrText xml:space="preserve"> PAGEREF _Toc469577178 \h </w:instrText>
      </w:r>
      <w:r>
        <w:rPr>
          <w:noProof/>
        </w:rPr>
      </w:r>
      <w:r>
        <w:rPr>
          <w:noProof/>
        </w:rPr>
        <w:fldChar w:fldCharType="separate"/>
      </w:r>
      <w:r w:rsidR="00AD27F1">
        <w:rPr>
          <w:noProof/>
        </w:rPr>
        <w:t>16</w:t>
      </w:r>
      <w:r>
        <w:rPr>
          <w:noProof/>
        </w:rPr>
        <w:fldChar w:fldCharType="end"/>
      </w:r>
    </w:p>
    <w:p w:rsidR="00A607B1" w:rsidRDefault="00A607B1">
      <w:pPr>
        <w:pStyle w:val="TOC3"/>
        <w:tabs>
          <w:tab w:val="left" w:pos="1799"/>
          <w:tab w:val="right" w:pos="8494"/>
        </w:tabs>
        <w:rPr>
          <w:rFonts w:asciiTheme="minorHAnsi" w:eastAsiaTheme="minorEastAsia" w:hAnsiTheme="minorHAnsi" w:cstheme="minorBidi"/>
          <w:noProof/>
          <w:sz w:val="22"/>
          <w:szCs w:val="22"/>
          <w:lang w:eastAsia="en-NZ"/>
        </w:rPr>
      </w:pPr>
      <w:r>
        <w:rPr>
          <w:noProof/>
        </w:rPr>
        <w:t>3.3.1</w:t>
      </w:r>
      <w:r>
        <w:rPr>
          <w:rFonts w:asciiTheme="minorHAnsi" w:eastAsiaTheme="minorEastAsia" w:hAnsiTheme="minorHAnsi" w:cstheme="minorBidi"/>
          <w:noProof/>
          <w:sz w:val="22"/>
          <w:szCs w:val="22"/>
          <w:lang w:eastAsia="en-NZ"/>
        </w:rPr>
        <w:tab/>
      </w:r>
      <w:r>
        <w:rPr>
          <w:noProof/>
        </w:rPr>
        <w:t>Transmission and distribution line losses for purchased electricity</w:t>
      </w:r>
      <w:r>
        <w:rPr>
          <w:noProof/>
        </w:rPr>
        <w:tab/>
      </w:r>
      <w:r>
        <w:rPr>
          <w:noProof/>
        </w:rPr>
        <w:fldChar w:fldCharType="begin"/>
      </w:r>
      <w:r>
        <w:rPr>
          <w:noProof/>
        </w:rPr>
        <w:instrText xml:space="preserve"> PAGEREF _Toc469577179 \h </w:instrText>
      </w:r>
      <w:r>
        <w:rPr>
          <w:noProof/>
        </w:rPr>
      </w:r>
      <w:r>
        <w:rPr>
          <w:noProof/>
        </w:rPr>
        <w:fldChar w:fldCharType="separate"/>
      </w:r>
      <w:r w:rsidR="00AD27F1">
        <w:rPr>
          <w:noProof/>
        </w:rPr>
        <w:t>16</w:t>
      </w:r>
      <w:r>
        <w:rPr>
          <w:noProof/>
        </w:rPr>
        <w:fldChar w:fldCharType="end"/>
      </w:r>
    </w:p>
    <w:p w:rsidR="00A607B1" w:rsidRDefault="00A607B1">
      <w:pPr>
        <w:pStyle w:val="TOC3"/>
        <w:tabs>
          <w:tab w:val="left" w:pos="1799"/>
          <w:tab w:val="right" w:pos="8494"/>
        </w:tabs>
        <w:rPr>
          <w:rFonts w:asciiTheme="minorHAnsi" w:eastAsiaTheme="minorEastAsia" w:hAnsiTheme="minorHAnsi" w:cstheme="minorBidi"/>
          <w:noProof/>
          <w:sz w:val="22"/>
          <w:szCs w:val="22"/>
          <w:lang w:eastAsia="en-NZ"/>
        </w:rPr>
      </w:pPr>
      <w:r>
        <w:rPr>
          <w:noProof/>
        </w:rPr>
        <w:t>3.3.2</w:t>
      </w:r>
      <w:r>
        <w:rPr>
          <w:rFonts w:asciiTheme="minorHAnsi" w:eastAsiaTheme="minorEastAsia" w:hAnsiTheme="minorHAnsi" w:cstheme="minorBidi"/>
          <w:noProof/>
          <w:sz w:val="22"/>
          <w:szCs w:val="22"/>
          <w:lang w:eastAsia="en-NZ"/>
        </w:rPr>
        <w:tab/>
      </w:r>
      <w:r>
        <w:rPr>
          <w:noProof/>
        </w:rPr>
        <w:t>Transmission and distribution losses for distributed natural gas</w:t>
      </w:r>
      <w:r>
        <w:rPr>
          <w:noProof/>
        </w:rPr>
        <w:tab/>
      </w:r>
      <w:r>
        <w:rPr>
          <w:noProof/>
        </w:rPr>
        <w:fldChar w:fldCharType="begin"/>
      </w:r>
      <w:r>
        <w:rPr>
          <w:noProof/>
        </w:rPr>
        <w:instrText xml:space="preserve"> PAGEREF _Toc469577180 \h </w:instrText>
      </w:r>
      <w:r>
        <w:rPr>
          <w:noProof/>
        </w:rPr>
      </w:r>
      <w:r>
        <w:rPr>
          <w:noProof/>
        </w:rPr>
        <w:fldChar w:fldCharType="separate"/>
      </w:r>
      <w:r w:rsidR="00AD27F1">
        <w:rPr>
          <w:noProof/>
        </w:rPr>
        <w:t>17</w:t>
      </w:r>
      <w:r>
        <w:rPr>
          <w:noProof/>
        </w:rPr>
        <w:fldChar w:fldCharType="end"/>
      </w:r>
    </w:p>
    <w:p w:rsidR="00A607B1" w:rsidRDefault="00A607B1">
      <w:pPr>
        <w:pStyle w:val="TOC3"/>
        <w:tabs>
          <w:tab w:val="left" w:pos="1799"/>
          <w:tab w:val="right" w:pos="8494"/>
        </w:tabs>
        <w:rPr>
          <w:rFonts w:asciiTheme="minorHAnsi" w:eastAsiaTheme="minorEastAsia" w:hAnsiTheme="minorHAnsi" w:cstheme="minorBidi"/>
          <w:noProof/>
          <w:sz w:val="22"/>
          <w:szCs w:val="22"/>
          <w:lang w:eastAsia="en-NZ"/>
        </w:rPr>
      </w:pPr>
      <w:r>
        <w:rPr>
          <w:noProof/>
        </w:rPr>
        <w:t>3.3.4</w:t>
      </w:r>
      <w:r>
        <w:rPr>
          <w:rFonts w:asciiTheme="minorHAnsi" w:eastAsiaTheme="minorEastAsia" w:hAnsiTheme="minorHAnsi" w:cstheme="minorBidi"/>
          <w:noProof/>
          <w:sz w:val="22"/>
          <w:szCs w:val="22"/>
          <w:lang w:eastAsia="en-NZ"/>
        </w:rPr>
        <w:tab/>
      </w:r>
      <w:r>
        <w:rPr>
          <w:noProof/>
        </w:rPr>
        <w:t>Air travel</w:t>
      </w:r>
      <w:r>
        <w:rPr>
          <w:noProof/>
        </w:rPr>
        <w:tab/>
      </w:r>
      <w:r>
        <w:rPr>
          <w:noProof/>
        </w:rPr>
        <w:fldChar w:fldCharType="begin"/>
      </w:r>
      <w:r>
        <w:rPr>
          <w:noProof/>
        </w:rPr>
        <w:instrText xml:space="preserve"> PAGEREF _Toc469577181 \h </w:instrText>
      </w:r>
      <w:r>
        <w:rPr>
          <w:noProof/>
        </w:rPr>
      </w:r>
      <w:r>
        <w:rPr>
          <w:noProof/>
        </w:rPr>
        <w:fldChar w:fldCharType="separate"/>
      </w:r>
      <w:r w:rsidR="00AD27F1">
        <w:rPr>
          <w:noProof/>
        </w:rPr>
        <w:t>18</w:t>
      </w:r>
      <w:r>
        <w:rPr>
          <w:noProof/>
        </w:rPr>
        <w:fldChar w:fldCharType="end"/>
      </w:r>
    </w:p>
    <w:p w:rsidR="00A607B1" w:rsidRDefault="00A607B1">
      <w:pPr>
        <w:pStyle w:val="TOC3"/>
        <w:tabs>
          <w:tab w:val="left" w:pos="1799"/>
          <w:tab w:val="right" w:pos="8494"/>
        </w:tabs>
        <w:rPr>
          <w:rFonts w:asciiTheme="minorHAnsi" w:eastAsiaTheme="minorEastAsia" w:hAnsiTheme="minorHAnsi" w:cstheme="minorBidi"/>
          <w:noProof/>
          <w:sz w:val="22"/>
          <w:szCs w:val="22"/>
          <w:lang w:eastAsia="en-NZ"/>
        </w:rPr>
      </w:pPr>
      <w:r>
        <w:rPr>
          <w:noProof/>
        </w:rPr>
        <w:t>3.3.5</w:t>
      </w:r>
      <w:r>
        <w:rPr>
          <w:rFonts w:asciiTheme="minorHAnsi" w:eastAsiaTheme="minorEastAsia" w:hAnsiTheme="minorHAnsi" w:cstheme="minorBidi"/>
          <w:noProof/>
          <w:sz w:val="22"/>
          <w:szCs w:val="22"/>
          <w:lang w:eastAsia="en-NZ"/>
        </w:rPr>
        <w:tab/>
      </w:r>
      <w:r>
        <w:rPr>
          <w:noProof/>
        </w:rPr>
        <w:t>Waste to landfill</w:t>
      </w:r>
      <w:r>
        <w:rPr>
          <w:noProof/>
        </w:rPr>
        <w:tab/>
      </w:r>
      <w:r>
        <w:rPr>
          <w:noProof/>
        </w:rPr>
        <w:fldChar w:fldCharType="begin"/>
      </w:r>
      <w:r>
        <w:rPr>
          <w:noProof/>
        </w:rPr>
        <w:instrText xml:space="preserve"> PAGEREF _Toc469577182 \h </w:instrText>
      </w:r>
      <w:r>
        <w:rPr>
          <w:noProof/>
        </w:rPr>
      </w:r>
      <w:r>
        <w:rPr>
          <w:noProof/>
        </w:rPr>
        <w:fldChar w:fldCharType="separate"/>
      </w:r>
      <w:r w:rsidR="00AD27F1">
        <w:rPr>
          <w:noProof/>
        </w:rPr>
        <w:t>19</w:t>
      </w:r>
      <w:r>
        <w:rPr>
          <w:noProof/>
        </w:rPr>
        <w:fldChar w:fldCharType="end"/>
      </w:r>
    </w:p>
    <w:p w:rsidR="00A607B1" w:rsidRDefault="00A607B1">
      <w:pPr>
        <w:pStyle w:val="TOC1"/>
        <w:rPr>
          <w:rFonts w:asciiTheme="minorHAnsi" w:eastAsiaTheme="minorEastAsia" w:hAnsiTheme="minorHAnsi" w:cstheme="minorBidi"/>
          <w:noProof/>
          <w:sz w:val="22"/>
          <w:szCs w:val="22"/>
          <w:lang w:eastAsia="en-NZ"/>
        </w:rPr>
      </w:pPr>
      <w:r>
        <w:rPr>
          <w:noProof/>
        </w:rPr>
        <w:t>4</w:t>
      </w:r>
      <w:r>
        <w:rPr>
          <w:rFonts w:asciiTheme="minorHAnsi" w:eastAsiaTheme="minorEastAsia" w:hAnsiTheme="minorHAnsi" w:cstheme="minorBidi"/>
          <w:noProof/>
          <w:sz w:val="22"/>
          <w:szCs w:val="22"/>
          <w:lang w:eastAsia="en-NZ"/>
        </w:rPr>
        <w:tab/>
      </w:r>
      <w:r>
        <w:rPr>
          <w:noProof/>
        </w:rPr>
        <w:t>References</w:t>
      </w:r>
      <w:r>
        <w:rPr>
          <w:noProof/>
        </w:rPr>
        <w:tab/>
      </w:r>
      <w:r>
        <w:rPr>
          <w:noProof/>
        </w:rPr>
        <w:fldChar w:fldCharType="begin"/>
      </w:r>
      <w:r>
        <w:rPr>
          <w:noProof/>
        </w:rPr>
        <w:instrText xml:space="preserve"> PAGEREF _Toc469577183 \h </w:instrText>
      </w:r>
      <w:r>
        <w:rPr>
          <w:noProof/>
        </w:rPr>
      </w:r>
      <w:r>
        <w:rPr>
          <w:noProof/>
        </w:rPr>
        <w:fldChar w:fldCharType="separate"/>
      </w:r>
      <w:r w:rsidR="00AD27F1">
        <w:rPr>
          <w:noProof/>
        </w:rPr>
        <w:t>22</w:t>
      </w:r>
      <w:r>
        <w:rPr>
          <w:noProof/>
        </w:rPr>
        <w:fldChar w:fldCharType="end"/>
      </w:r>
    </w:p>
    <w:p w:rsidR="00A607B1" w:rsidRDefault="00A607B1">
      <w:pPr>
        <w:pStyle w:val="TOC1"/>
        <w:rPr>
          <w:rFonts w:asciiTheme="minorHAnsi" w:eastAsiaTheme="minorEastAsia" w:hAnsiTheme="minorHAnsi" w:cstheme="minorBidi"/>
          <w:noProof/>
          <w:sz w:val="22"/>
          <w:szCs w:val="22"/>
          <w:lang w:eastAsia="en-NZ"/>
        </w:rPr>
      </w:pPr>
      <w:r>
        <w:rPr>
          <w:noProof/>
        </w:rPr>
        <w:t>Appendix A: Derivation of fuel emission factors</w:t>
      </w:r>
      <w:r>
        <w:rPr>
          <w:noProof/>
        </w:rPr>
        <w:tab/>
      </w:r>
      <w:r>
        <w:rPr>
          <w:noProof/>
        </w:rPr>
        <w:fldChar w:fldCharType="begin"/>
      </w:r>
      <w:r>
        <w:rPr>
          <w:noProof/>
        </w:rPr>
        <w:instrText xml:space="preserve"> PAGEREF _Toc469577184 \h </w:instrText>
      </w:r>
      <w:r>
        <w:rPr>
          <w:noProof/>
        </w:rPr>
      </w:r>
      <w:r>
        <w:rPr>
          <w:noProof/>
        </w:rPr>
        <w:fldChar w:fldCharType="separate"/>
      </w:r>
      <w:r w:rsidR="00AD27F1">
        <w:rPr>
          <w:noProof/>
        </w:rPr>
        <w:t>23</w:t>
      </w:r>
      <w:r>
        <w:rPr>
          <w:noProof/>
        </w:rPr>
        <w:fldChar w:fldCharType="end"/>
      </w:r>
    </w:p>
    <w:p w:rsidR="00A607B1" w:rsidRDefault="00A607B1">
      <w:pPr>
        <w:pStyle w:val="TOC1"/>
        <w:rPr>
          <w:rFonts w:asciiTheme="minorHAnsi" w:eastAsiaTheme="minorEastAsia" w:hAnsiTheme="minorHAnsi" w:cstheme="minorBidi"/>
          <w:noProof/>
          <w:sz w:val="22"/>
          <w:szCs w:val="22"/>
          <w:lang w:eastAsia="en-NZ"/>
        </w:rPr>
      </w:pPr>
      <w:r>
        <w:rPr>
          <w:noProof/>
        </w:rPr>
        <w:t>Appendix B: Methods for calculating emissions from refrigeration</w:t>
      </w:r>
      <w:r>
        <w:rPr>
          <w:noProof/>
        </w:rPr>
        <w:tab/>
      </w:r>
      <w:r>
        <w:rPr>
          <w:noProof/>
        </w:rPr>
        <w:fldChar w:fldCharType="begin"/>
      </w:r>
      <w:r>
        <w:rPr>
          <w:noProof/>
        </w:rPr>
        <w:instrText xml:space="preserve"> PAGEREF _Toc469577185 \h </w:instrText>
      </w:r>
      <w:r>
        <w:rPr>
          <w:noProof/>
        </w:rPr>
      </w:r>
      <w:r>
        <w:rPr>
          <w:noProof/>
        </w:rPr>
        <w:fldChar w:fldCharType="separate"/>
      </w:r>
      <w:r w:rsidR="00AD27F1">
        <w:rPr>
          <w:noProof/>
        </w:rPr>
        <w:t>26</w:t>
      </w:r>
      <w:r>
        <w:rPr>
          <w:noProof/>
        </w:rPr>
        <w:fldChar w:fldCharType="end"/>
      </w:r>
    </w:p>
    <w:p w:rsidR="00A607B1" w:rsidRDefault="00A607B1">
      <w:pPr>
        <w:pStyle w:val="TOC1"/>
        <w:rPr>
          <w:rFonts w:asciiTheme="minorHAnsi" w:eastAsiaTheme="minorEastAsia" w:hAnsiTheme="minorHAnsi" w:cstheme="minorBidi"/>
          <w:noProof/>
          <w:sz w:val="22"/>
          <w:szCs w:val="22"/>
          <w:lang w:eastAsia="en-NZ"/>
        </w:rPr>
      </w:pPr>
      <w:r>
        <w:rPr>
          <w:noProof/>
        </w:rPr>
        <w:t>Appendix C: Derivation of emission factors for waste to landfill</w:t>
      </w:r>
      <w:r>
        <w:rPr>
          <w:noProof/>
        </w:rPr>
        <w:tab/>
      </w:r>
      <w:r>
        <w:rPr>
          <w:noProof/>
        </w:rPr>
        <w:fldChar w:fldCharType="begin"/>
      </w:r>
      <w:r>
        <w:rPr>
          <w:noProof/>
        </w:rPr>
        <w:instrText xml:space="preserve"> PAGEREF _Toc469577186 \h </w:instrText>
      </w:r>
      <w:r>
        <w:rPr>
          <w:noProof/>
        </w:rPr>
      </w:r>
      <w:r>
        <w:rPr>
          <w:noProof/>
        </w:rPr>
        <w:fldChar w:fldCharType="separate"/>
      </w:r>
      <w:r w:rsidR="00AD27F1">
        <w:rPr>
          <w:noProof/>
        </w:rPr>
        <w:t>35</w:t>
      </w:r>
      <w:r>
        <w:rPr>
          <w:noProof/>
        </w:rPr>
        <w:fldChar w:fldCharType="end"/>
      </w:r>
    </w:p>
    <w:p w:rsidR="00A607B1" w:rsidRDefault="00A607B1">
      <w:pPr>
        <w:pStyle w:val="TOC1"/>
        <w:rPr>
          <w:rFonts w:asciiTheme="minorHAnsi" w:eastAsiaTheme="minorEastAsia" w:hAnsiTheme="minorHAnsi" w:cstheme="minorBidi"/>
          <w:noProof/>
          <w:sz w:val="22"/>
          <w:szCs w:val="22"/>
          <w:lang w:eastAsia="en-NZ"/>
        </w:rPr>
      </w:pPr>
      <w:r>
        <w:rPr>
          <w:noProof/>
        </w:rPr>
        <w:t>Appendix D: Landfills with gas collection systems</w:t>
      </w:r>
      <w:r>
        <w:rPr>
          <w:noProof/>
        </w:rPr>
        <w:tab/>
      </w:r>
      <w:r>
        <w:rPr>
          <w:noProof/>
        </w:rPr>
        <w:fldChar w:fldCharType="begin"/>
      </w:r>
      <w:r>
        <w:rPr>
          <w:noProof/>
        </w:rPr>
        <w:instrText xml:space="preserve"> PAGEREF _Toc469577187 \h </w:instrText>
      </w:r>
      <w:r>
        <w:rPr>
          <w:noProof/>
        </w:rPr>
      </w:r>
      <w:r>
        <w:rPr>
          <w:noProof/>
        </w:rPr>
        <w:fldChar w:fldCharType="separate"/>
      </w:r>
      <w:r w:rsidR="00AD27F1">
        <w:rPr>
          <w:noProof/>
        </w:rPr>
        <w:t>37</w:t>
      </w:r>
      <w:r>
        <w:rPr>
          <w:noProof/>
        </w:rPr>
        <w:fldChar w:fldCharType="end"/>
      </w:r>
    </w:p>
    <w:p w:rsidR="00725A18" w:rsidRPr="005267D4" w:rsidRDefault="00EA562A" w:rsidP="009C707C">
      <w:r>
        <w:fldChar w:fldCharType="end"/>
      </w:r>
    </w:p>
    <w:p w:rsidR="00725A18" w:rsidRPr="005267D4" w:rsidRDefault="00725A18" w:rsidP="00725A18">
      <w:pPr>
        <w:pStyle w:val="Heading"/>
      </w:pPr>
      <w:r w:rsidRPr="005267D4">
        <w:br w:type="page"/>
      </w:r>
      <w:r w:rsidRPr="005267D4">
        <w:lastRenderedPageBreak/>
        <w:t>Tables</w:t>
      </w:r>
    </w:p>
    <w:p w:rsidR="00A607B1" w:rsidRDefault="00EA562A">
      <w:pPr>
        <w:pStyle w:val="TOC4"/>
        <w:tabs>
          <w:tab w:val="right" w:pos="8494"/>
        </w:tabs>
        <w:rPr>
          <w:rFonts w:asciiTheme="minorHAnsi" w:eastAsiaTheme="minorEastAsia" w:hAnsiTheme="minorHAnsi" w:cstheme="minorBidi"/>
          <w:noProof/>
          <w:sz w:val="22"/>
          <w:szCs w:val="22"/>
          <w:lang w:eastAsia="en-NZ"/>
        </w:rPr>
      </w:pPr>
      <w:r>
        <w:fldChar w:fldCharType="begin"/>
      </w:r>
      <w:r w:rsidR="00961092">
        <w:instrText xml:space="preserve"> TOC \t "Table,4" </w:instrText>
      </w:r>
      <w:r>
        <w:fldChar w:fldCharType="separate"/>
      </w:r>
      <w:r w:rsidR="00A607B1">
        <w:rPr>
          <w:noProof/>
        </w:rPr>
        <w:t>Table 1:</w:t>
      </w:r>
      <w:r w:rsidR="00A607B1">
        <w:rPr>
          <w:rFonts w:asciiTheme="minorHAnsi" w:eastAsiaTheme="minorEastAsia" w:hAnsiTheme="minorHAnsi" w:cstheme="minorBidi"/>
          <w:noProof/>
          <w:sz w:val="22"/>
          <w:szCs w:val="22"/>
          <w:lang w:eastAsia="en-NZ"/>
        </w:rPr>
        <w:tab/>
      </w:r>
      <w:r w:rsidR="00A607B1">
        <w:rPr>
          <w:noProof/>
        </w:rPr>
        <w:t>Fuel combustion emission factors (fuels used for stationary combustion)</w:t>
      </w:r>
      <w:r w:rsidR="00A607B1">
        <w:rPr>
          <w:noProof/>
        </w:rPr>
        <w:tab/>
      </w:r>
      <w:r w:rsidR="00A607B1">
        <w:rPr>
          <w:noProof/>
        </w:rPr>
        <w:fldChar w:fldCharType="begin"/>
      </w:r>
      <w:r w:rsidR="00A607B1">
        <w:rPr>
          <w:noProof/>
        </w:rPr>
        <w:instrText xml:space="preserve"> PAGEREF _Toc469577140 \h </w:instrText>
      </w:r>
      <w:r w:rsidR="00A607B1">
        <w:rPr>
          <w:noProof/>
        </w:rPr>
      </w:r>
      <w:r w:rsidR="00A607B1">
        <w:rPr>
          <w:noProof/>
        </w:rPr>
        <w:fldChar w:fldCharType="separate"/>
      </w:r>
      <w:r w:rsidR="00AD27F1">
        <w:rPr>
          <w:noProof/>
        </w:rPr>
        <w:t>8</w:t>
      </w:r>
      <w:r w:rsidR="00A607B1">
        <w:rPr>
          <w:noProof/>
        </w:rPr>
        <w:fldChar w:fldCharType="end"/>
      </w:r>
    </w:p>
    <w:p w:rsidR="00A607B1" w:rsidRDefault="00A607B1">
      <w:pPr>
        <w:pStyle w:val="TOC4"/>
        <w:tabs>
          <w:tab w:val="right" w:pos="8494"/>
        </w:tabs>
        <w:rPr>
          <w:rFonts w:asciiTheme="minorHAnsi" w:eastAsiaTheme="minorEastAsia" w:hAnsiTheme="minorHAnsi" w:cstheme="minorBidi"/>
          <w:noProof/>
          <w:sz w:val="22"/>
          <w:szCs w:val="22"/>
          <w:lang w:eastAsia="en-NZ"/>
        </w:rPr>
      </w:pPr>
      <w:r>
        <w:rPr>
          <w:noProof/>
        </w:rPr>
        <w:t>Table 2:</w:t>
      </w:r>
      <w:r>
        <w:rPr>
          <w:rFonts w:asciiTheme="minorHAnsi" w:eastAsiaTheme="minorEastAsia" w:hAnsiTheme="minorHAnsi" w:cstheme="minorBidi"/>
          <w:noProof/>
          <w:sz w:val="22"/>
          <w:szCs w:val="22"/>
          <w:lang w:eastAsia="en-NZ"/>
        </w:rPr>
        <w:tab/>
      </w:r>
      <w:r>
        <w:rPr>
          <w:noProof/>
        </w:rPr>
        <w:t>Fuel combustion emission factors (transport fuels)</w:t>
      </w:r>
      <w:r>
        <w:rPr>
          <w:noProof/>
        </w:rPr>
        <w:tab/>
      </w:r>
      <w:r>
        <w:rPr>
          <w:noProof/>
        </w:rPr>
        <w:fldChar w:fldCharType="begin"/>
      </w:r>
      <w:r>
        <w:rPr>
          <w:noProof/>
        </w:rPr>
        <w:instrText xml:space="preserve"> PAGEREF _Toc469577141 \h </w:instrText>
      </w:r>
      <w:r>
        <w:rPr>
          <w:noProof/>
        </w:rPr>
      </w:r>
      <w:r>
        <w:rPr>
          <w:noProof/>
        </w:rPr>
        <w:fldChar w:fldCharType="separate"/>
      </w:r>
      <w:r w:rsidR="00AD27F1">
        <w:rPr>
          <w:noProof/>
        </w:rPr>
        <w:t>10</w:t>
      </w:r>
      <w:r>
        <w:rPr>
          <w:noProof/>
        </w:rPr>
        <w:fldChar w:fldCharType="end"/>
      </w:r>
    </w:p>
    <w:p w:rsidR="00A607B1" w:rsidRDefault="00A607B1">
      <w:pPr>
        <w:pStyle w:val="TOC4"/>
        <w:tabs>
          <w:tab w:val="right" w:pos="8494"/>
        </w:tabs>
        <w:rPr>
          <w:rFonts w:asciiTheme="minorHAnsi" w:eastAsiaTheme="minorEastAsia" w:hAnsiTheme="minorHAnsi" w:cstheme="minorBidi"/>
          <w:noProof/>
          <w:sz w:val="22"/>
          <w:szCs w:val="22"/>
          <w:lang w:eastAsia="en-NZ"/>
        </w:rPr>
      </w:pPr>
      <w:r>
        <w:rPr>
          <w:noProof/>
        </w:rPr>
        <w:t>Table 3:</w:t>
      </w:r>
      <w:r>
        <w:rPr>
          <w:rFonts w:asciiTheme="minorHAnsi" w:eastAsiaTheme="minorEastAsia" w:hAnsiTheme="minorHAnsi" w:cstheme="minorBidi"/>
          <w:noProof/>
          <w:sz w:val="22"/>
          <w:szCs w:val="22"/>
          <w:lang w:eastAsia="en-NZ"/>
        </w:rPr>
        <w:tab/>
      </w:r>
      <w:r>
        <w:rPr>
          <w:noProof/>
        </w:rPr>
        <w:t>Transport emission factors (based on distance travelled)</w:t>
      </w:r>
      <w:r>
        <w:rPr>
          <w:noProof/>
        </w:rPr>
        <w:tab/>
      </w:r>
      <w:r>
        <w:rPr>
          <w:noProof/>
        </w:rPr>
        <w:fldChar w:fldCharType="begin"/>
      </w:r>
      <w:r>
        <w:rPr>
          <w:noProof/>
        </w:rPr>
        <w:instrText xml:space="preserve"> PAGEREF _Toc469577142 \h </w:instrText>
      </w:r>
      <w:r>
        <w:rPr>
          <w:noProof/>
        </w:rPr>
      </w:r>
      <w:r>
        <w:rPr>
          <w:noProof/>
        </w:rPr>
        <w:fldChar w:fldCharType="separate"/>
      </w:r>
      <w:r w:rsidR="00AD27F1">
        <w:rPr>
          <w:noProof/>
        </w:rPr>
        <w:t>12</w:t>
      </w:r>
      <w:r>
        <w:rPr>
          <w:noProof/>
        </w:rPr>
        <w:fldChar w:fldCharType="end"/>
      </w:r>
    </w:p>
    <w:p w:rsidR="00A607B1" w:rsidRDefault="00A607B1">
      <w:pPr>
        <w:pStyle w:val="TOC4"/>
        <w:tabs>
          <w:tab w:val="right" w:pos="8494"/>
        </w:tabs>
        <w:rPr>
          <w:rFonts w:asciiTheme="minorHAnsi" w:eastAsiaTheme="minorEastAsia" w:hAnsiTheme="minorHAnsi" w:cstheme="minorBidi"/>
          <w:noProof/>
          <w:sz w:val="22"/>
          <w:szCs w:val="22"/>
          <w:lang w:eastAsia="en-NZ"/>
        </w:rPr>
      </w:pPr>
      <w:r>
        <w:rPr>
          <w:noProof/>
        </w:rPr>
        <w:t>Table 4:</w:t>
      </w:r>
      <w:r>
        <w:rPr>
          <w:rFonts w:asciiTheme="minorHAnsi" w:eastAsiaTheme="minorEastAsia" w:hAnsiTheme="minorHAnsi" w:cstheme="minorBidi"/>
          <w:noProof/>
          <w:sz w:val="22"/>
          <w:szCs w:val="22"/>
          <w:lang w:eastAsia="en-NZ"/>
        </w:rPr>
        <w:tab/>
      </w:r>
      <w:r>
        <w:rPr>
          <w:noProof/>
        </w:rPr>
        <w:t>Emission factors for travel in taxis and rental cars</w:t>
      </w:r>
      <w:r>
        <w:rPr>
          <w:noProof/>
        </w:rPr>
        <w:tab/>
      </w:r>
      <w:r>
        <w:rPr>
          <w:noProof/>
        </w:rPr>
        <w:fldChar w:fldCharType="begin"/>
      </w:r>
      <w:r>
        <w:rPr>
          <w:noProof/>
        </w:rPr>
        <w:instrText xml:space="preserve"> PAGEREF _Toc469577143 \h </w:instrText>
      </w:r>
      <w:r>
        <w:rPr>
          <w:noProof/>
        </w:rPr>
      </w:r>
      <w:r>
        <w:rPr>
          <w:noProof/>
        </w:rPr>
        <w:fldChar w:fldCharType="separate"/>
      </w:r>
      <w:r w:rsidR="00AD27F1">
        <w:rPr>
          <w:noProof/>
        </w:rPr>
        <w:t>13</w:t>
      </w:r>
      <w:r>
        <w:rPr>
          <w:noProof/>
        </w:rPr>
        <w:fldChar w:fldCharType="end"/>
      </w:r>
    </w:p>
    <w:p w:rsidR="00A607B1" w:rsidRDefault="00A607B1">
      <w:pPr>
        <w:pStyle w:val="TOC4"/>
        <w:tabs>
          <w:tab w:val="right" w:pos="8494"/>
        </w:tabs>
        <w:rPr>
          <w:rFonts w:asciiTheme="minorHAnsi" w:eastAsiaTheme="minorEastAsia" w:hAnsiTheme="minorHAnsi" w:cstheme="minorBidi"/>
          <w:noProof/>
          <w:sz w:val="22"/>
          <w:szCs w:val="22"/>
          <w:lang w:eastAsia="en-NZ"/>
        </w:rPr>
      </w:pPr>
      <w:r>
        <w:rPr>
          <w:noProof/>
        </w:rPr>
        <w:t>Table 5:</w:t>
      </w:r>
      <w:r>
        <w:rPr>
          <w:rFonts w:asciiTheme="minorHAnsi" w:eastAsiaTheme="minorEastAsia" w:hAnsiTheme="minorHAnsi" w:cstheme="minorBidi"/>
          <w:noProof/>
          <w:sz w:val="22"/>
          <w:szCs w:val="22"/>
          <w:lang w:eastAsia="en-NZ"/>
        </w:rPr>
        <w:tab/>
      </w:r>
      <w:r>
        <w:rPr>
          <w:noProof/>
        </w:rPr>
        <w:t>Emission factor for the consumption of purchased electricity</w:t>
      </w:r>
      <w:r>
        <w:rPr>
          <w:noProof/>
        </w:rPr>
        <w:tab/>
      </w:r>
      <w:r>
        <w:rPr>
          <w:noProof/>
        </w:rPr>
        <w:fldChar w:fldCharType="begin"/>
      </w:r>
      <w:r>
        <w:rPr>
          <w:noProof/>
        </w:rPr>
        <w:instrText xml:space="preserve"> PAGEREF _Toc469577144 \h </w:instrText>
      </w:r>
      <w:r>
        <w:rPr>
          <w:noProof/>
        </w:rPr>
      </w:r>
      <w:r>
        <w:rPr>
          <w:noProof/>
        </w:rPr>
        <w:fldChar w:fldCharType="separate"/>
      </w:r>
      <w:r w:rsidR="00AD27F1">
        <w:rPr>
          <w:noProof/>
        </w:rPr>
        <w:t>15</w:t>
      </w:r>
      <w:r>
        <w:rPr>
          <w:noProof/>
        </w:rPr>
        <w:fldChar w:fldCharType="end"/>
      </w:r>
    </w:p>
    <w:p w:rsidR="00A607B1" w:rsidRDefault="00A607B1">
      <w:pPr>
        <w:pStyle w:val="TOC4"/>
        <w:tabs>
          <w:tab w:val="right" w:pos="8494"/>
        </w:tabs>
        <w:rPr>
          <w:rFonts w:asciiTheme="minorHAnsi" w:eastAsiaTheme="minorEastAsia" w:hAnsiTheme="minorHAnsi" w:cstheme="minorBidi"/>
          <w:noProof/>
          <w:sz w:val="22"/>
          <w:szCs w:val="22"/>
          <w:lang w:eastAsia="en-NZ"/>
        </w:rPr>
      </w:pPr>
      <w:r>
        <w:rPr>
          <w:noProof/>
        </w:rPr>
        <w:t>Table 6:</w:t>
      </w:r>
      <w:r>
        <w:rPr>
          <w:rFonts w:asciiTheme="minorHAnsi" w:eastAsiaTheme="minorEastAsia" w:hAnsiTheme="minorHAnsi" w:cstheme="minorBidi"/>
          <w:noProof/>
          <w:sz w:val="22"/>
          <w:szCs w:val="22"/>
          <w:lang w:eastAsia="en-NZ"/>
        </w:rPr>
        <w:tab/>
      </w:r>
      <w:r>
        <w:rPr>
          <w:noProof/>
        </w:rPr>
        <w:t>Transmission and distribution line losses for purchased electricity</w:t>
      </w:r>
      <w:r>
        <w:rPr>
          <w:noProof/>
        </w:rPr>
        <w:tab/>
      </w:r>
      <w:r>
        <w:rPr>
          <w:noProof/>
        </w:rPr>
        <w:fldChar w:fldCharType="begin"/>
      </w:r>
      <w:r>
        <w:rPr>
          <w:noProof/>
        </w:rPr>
        <w:instrText xml:space="preserve"> PAGEREF _Toc469577145 \h </w:instrText>
      </w:r>
      <w:r>
        <w:rPr>
          <w:noProof/>
        </w:rPr>
      </w:r>
      <w:r>
        <w:rPr>
          <w:noProof/>
        </w:rPr>
        <w:fldChar w:fldCharType="separate"/>
      </w:r>
      <w:r w:rsidR="00AD27F1">
        <w:rPr>
          <w:noProof/>
        </w:rPr>
        <w:t>16</w:t>
      </w:r>
      <w:r>
        <w:rPr>
          <w:noProof/>
        </w:rPr>
        <w:fldChar w:fldCharType="end"/>
      </w:r>
    </w:p>
    <w:p w:rsidR="00A607B1" w:rsidRDefault="00A607B1">
      <w:pPr>
        <w:pStyle w:val="TOC4"/>
        <w:tabs>
          <w:tab w:val="right" w:pos="8494"/>
        </w:tabs>
        <w:rPr>
          <w:rFonts w:asciiTheme="minorHAnsi" w:eastAsiaTheme="minorEastAsia" w:hAnsiTheme="minorHAnsi" w:cstheme="minorBidi"/>
          <w:noProof/>
          <w:sz w:val="22"/>
          <w:szCs w:val="22"/>
          <w:lang w:eastAsia="en-NZ"/>
        </w:rPr>
      </w:pPr>
      <w:r>
        <w:rPr>
          <w:noProof/>
        </w:rPr>
        <w:t>Table 7:</w:t>
      </w:r>
      <w:r>
        <w:rPr>
          <w:rFonts w:asciiTheme="minorHAnsi" w:eastAsiaTheme="minorEastAsia" w:hAnsiTheme="minorHAnsi" w:cstheme="minorBidi"/>
          <w:noProof/>
          <w:sz w:val="22"/>
          <w:szCs w:val="22"/>
          <w:lang w:eastAsia="en-NZ"/>
        </w:rPr>
        <w:tab/>
      </w:r>
      <w:r>
        <w:rPr>
          <w:noProof/>
        </w:rPr>
        <w:t>Transmission and distribution losses for distributed natural gas</w:t>
      </w:r>
      <w:r>
        <w:rPr>
          <w:noProof/>
        </w:rPr>
        <w:tab/>
      </w:r>
      <w:r>
        <w:rPr>
          <w:noProof/>
        </w:rPr>
        <w:fldChar w:fldCharType="begin"/>
      </w:r>
      <w:r>
        <w:rPr>
          <w:noProof/>
        </w:rPr>
        <w:instrText xml:space="preserve"> PAGEREF _Toc469577146 \h </w:instrText>
      </w:r>
      <w:r>
        <w:rPr>
          <w:noProof/>
        </w:rPr>
      </w:r>
      <w:r>
        <w:rPr>
          <w:noProof/>
        </w:rPr>
        <w:fldChar w:fldCharType="separate"/>
      </w:r>
      <w:r w:rsidR="00AD27F1">
        <w:rPr>
          <w:noProof/>
        </w:rPr>
        <w:t>17</w:t>
      </w:r>
      <w:r>
        <w:rPr>
          <w:noProof/>
        </w:rPr>
        <w:fldChar w:fldCharType="end"/>
      </w:r>
    </w:p>
    <w:p w:rsidR="00A607B1" w:rsidRDefault="00A607B1">
      <w:pPr>
        <w:pStyle w:val="TOC4"/>
        <w:tabs>
          <w:tab w:val="right" w:pos="8494"/>
        </w:tabs>
        <w:rPr>
          <w:rFonts w:asciiTheme="minorHAnsi" w:eastAsiaTheme="minorEastAsia" w:hAnsiTheme="minorHAnsi" w:cstheme="minorBidi"/>
          <w:noProof/>
          <w:sz w:val="22"/>
          <w:szCs w:val="22"/>
          <w:lang w:eastAsia="en-NZ"/>
        </w:rPr>
      </w:pPr>
      <w:r>
        <w:rPr>
          <w:noProof/>
        </w:rPr>
        <w:t>Table 9:</w:t>
      </w:r>
      <w:r>
        <w:rPr>
          <w:rFonts w:asciiTheme="minorHAnsi" w:eastAsiaTheme="minorEastAsia" w:hAnsiTheme="minorHAnsi" w:cstheme="minorBidi"/>
          <w:noProof/>
          <w:sz w:val="22"/>
          <w:szCs w:val="22"/>
          <w:lang w:eastAsia="en-NZ"/>
        </w:rPr>
        <w:tab/>
      </w:r>
      <w:r>
        <w:rPr>
          <w:noProof/>
        </w:rPr>
        <w:t>Emission factors for air travel (based on distance travelled) – 2014</w:t>
      </w:r>
      <w:r>
        <w:rPr>
          <w:noProof/>
        </w:rPr>
        <w:tab/>
      </w:r>
      <w:r>
        <w:rPr>
          <w:noProof/>
        </w:rPr>
        <w:fldChar w:fldCharType="begin"/>
      </w:r>
      <w:r>
        <w:rPr>
          <w:noProof/>
        </w:rPr>
        <w:instrText xml:space="preserve"> PAGEREF _Toc469577147 \h </w:instrText>
      </w:r>
      <w:r>
        <w:rPr>
          <w:noProof/>
        </w:rPr>
      </w:r>
      <w:r>
        <w:rPr>
          <w:noProof/>
        </w:rPr>
        <w:fldChar w:fldCharType="separate"/>
      </w:r>
      <w:r w:rsidR="00AD27F1">
        <w:rPr>
          <w:noProof/>
        </w:rPr>
        <w:t>18</w:t>
      </w:r>
      <w:r>
        <w:rPr>
          <w:noProof/>
        </w:rPr>
        <w:fldChar w:fldCharType="end"/>
      </w:r>
    </w:p>
    <w:p w:rsidR="00A607B1" w:rsidRDefault="00A607B1">
      <w:pPr>
        <w:pStyle w:val="TOC4"/>
        <w:tabs>
          <w:tab w:val="right" w:pos="8494"/>
        </w:tabs>
        <w:rPr>
          <w:rFonts w:asciiTheme="minorHAnsi" w:eastAsiaTheme="minorEastAsia" w:hAnsiTheme="minorHAnsi" w:cstheme="minorBidi"/>
          <w:noProof/>
          <w:sz w:val="22"/>
          <w:szCs w:val="22"/>
          <w:lang w:eastAsia="en-NZ"/>
        </w:rPr>
      </w:pPr>
      <w:r>
        <w:rPr>
          <w:noProof/>
        </w:rPr>
        <w:t>Table 10:</w:t>
      </w:r>
      <w:r>
        <w:rPr>
          <w:rFonts w:asciiTheme="minorHAnsi" w:eastAsiaTheme="minorEastAsia" w:hAnsiTheme="minorHAnsi" w:cstheme="minorBidi"/>
          <w:noProof/>
          <w:sz w:val="22"/>
          <w:szCs w:val="22"/>
          <w:lang w:eastAsia="en-NZ"/>
        </w:rPr>
        <w:tab/>
      </w:r>
      <w:r>
        <w:rPr>
          <w:noProof/>
        </w:rPr>
        <w:t>Emission factors for waste to landfill</w:t>
      </w:r>
      <w:r>
        <w:rPr>
          <w:noProof/>
        </w:rPr>
        <w:tab/>
      </w:r>
      <w:r>
        <w:rPr>
          <w:noProof/>
        </w:rPr>
        <w:fldChar w:fldCharType="begin"/>
      </w:r>
      <w:r>
        <w:rPr>
          <w:noProof/>
        </w:rPr>
        <w:instrText xml:space="preserve"> PAGEREF _Toc469577148 \h </w:instrText>
      </w:r>
      <w:r>
        <w:rPr>
          <w:noProof/>
        </w:rPr>
      </w:r>
      <w:r>
        <w:rPr>
          <w:noProof/>
        </w:rPr>
        <w:fldChar w:fldCharType="separate"/>
      </w:r>
      <w:r w:rsidR="00AD27F1">
        <w:rPr>
          <w:noProof/>
        </w:rPr>
        <w:t>21</w:t>
      </w:r>
      <w:r>
        <w:rPr>
          <w:noProof/>
        </w:rPr>
        <w:fldChar w:fldCharType="end"/>
      </w:r>
    </w:p>
    <w:p w:rsidR="00A607B1" w:rsidRDefault="00A607B1">
      <w:pPr>
        <w:pStyle w:val="TOC4"/>
        <w:tabs>
          <w:tab w:val="right" w:pos="8494"/>
        </w:tabs>
        <w:rPr>
          <w:rFonts w:asciiTheme="minorHAnsi" w:eastAsiaTheme="minorEastAsia" w:hAnsiTheme="minorHAnsi" w:cstheme="minorBidi"/>
          <w:noProof/>
          <w:sz w:val="22"/>
          <w:szCs w:val="22"/>
          <w:lang w:eastAsia="en-NZ"/>
        </w:rPr>
      </w:pPr>
      <w:r>
        <w:rPr>
          <w:noProof/>
        </w:rPr>
        <w:t>Table 11:</w:t>
      </w:r>
      <w:r>
        <w:rPr>
          <w:rFonts w:asciiTheme="minorHAnsi" w:eastAsiaTheme="minorEastAsia" w:hAnsiTheme="minorHAnsi" w:cstheme="minorBidi"/>
          <w:noProof/>
          <w:sz w:val="22"/>
          <w:szCs w:val="22"/>
          <w:lang w:eastAsia="en-NZ"/>
        </w:rPr>
        <w:tab/>
      </w:r>
      <w:r>
        <w:rPr>
          <w:noProof/>
        </w:rPr>
        <w:t>Underlying data used to derive the fuel combustion emission factors – 2014</w:t>
      </w:r>
      <w:r>
        <w:rPr>
          <w:noProof/>
        </w:rPr>
        <w:tab/>
      </w:r>
      <w:r>
        <w:rPr>
          <w:noProof/>
        </w:rPr>
        <w:fldChar w:fldCharType="begin"/>
      </w:r>
      <w:r>
        <w:rPr>
          <w:noProof/>
        </w:rPr>
        <w:instrText xml:space="preserve"> PAGEREF _Toc469577149 \h </w:instrText>
      </w:r>
      <w:r>
        <w:rPr>
          <w:noProof/>
        </w:rPr>
      </w:r>
      <w:r>
        <w:rPr>
          <w:noProof/>
        </w:rPr>
        <w:fldChar w:fldCharType="separate"/>
      </w:r>
      <w:r w:rsidR="00AD27F1">
        <w:rPr>
          <w:noProof/>
        </w:rPr>
        <w:t>24</w:t>
      </w:r>
      <w:r>
        <w:rPr>
          <w:noProof/>
        </w:rPr>
        <w:fldChar w:fldCharType="end"/>
      </w:r>
    </w:p>
    <w:p w:rsidR="00A607B1" w:rsidRDefault="00A607B1">
      <w:pPr>
        <w:pStyle w:val="TOC4"/>
        <w:tabs>
          <w:tab w:val="right" w:pos="8494"/>
        </w:tabs>
        <w:rPr>
          <w:rFonts w:asciiTheme="minorHAnsi" w:eastAsiaTheme="minorEastAsia" w:hAnsiTheme="minorHAnsi" w:cstheme="minorBidi"/>
          <w:noProof/>
          <w:sz w:val="22"/>
          <w:szCs w:val="22"/>
          <w:lang w:eastAsia="en-NZ"/>
        </w:rPr>
      </w:pPr>
      <w:r>
        <w:rPr>
          <w:noProof/>
        </w:rPr>
        <w:t>Table 12:</w:t>
      </w:r>
      <w:r>
        <w:rPr>
          <w:rFonts w:asciiTheme="minorHAnsi" w:eastAsiaTheme="minorEastAsia" w:hAnsiTheme="minorHAnsi" w:cstheme="minorBidi"/>
          <w:noProof/>
          <w:sz w:val="22"/>
          <w:szCs w:val="22"/>
          <w:lang w:eastAsia="en-NZ"/>
        </w:rPr>
        <w:tab/>
      </w:r>
      <w:r>
        <w:rPr>
          <w:noProof/>
        </w:rPr>
        <w:t>Global warming potentials for CO</w:t>
      </w:r>
      <w:r w:rsidRPr="00D031B1">
        <w:rPr>
          <w:noProof/>
          <w:vertAlign w:val="subscript"/>
        </w:rPr>
        <w:t>2</w:t>
      </w:r>
      <w:r>
        <w:rPr>
          <w:noProof/>
        </w:rPr>
        <w:t>, CH</w:t>
      </w:r>
      <w:r w:rsidRPr="00D031B1">
        <w:rPr>
          <w:noProof/>
          <w:vertAlign w:val="subscript"/>
        </w:rPr>
        <w:t>4</w:t>
      </w:r>
      <w:r>
        <w:rPr>
          <w:noProof/>
        </w:rPr>
        <w:t xml:space="preserve"> and N</w:t>
      </w:r>
      <w:r w:rsidRPr="00D031B1">
        <w:rPr>
          <w:noProof/>
          <w:vertAlign w:val="subscript"/>
        </w:rPr>
        <w:t>2</w:t>
      </w:r>
      <w:r>
        <w:rPr>
          <w:noProof/>
        </w:rPr>
        <w:t>O (100-year time horizon)</w:t>
      </w:r>
      <w:r>
        <w:rPr>
          <w:noProof/>
        </w:rPr>
        <w:tab/>
      </w:r>
      <w:r>
        <w:rPr>
          <w:noProof/>
        </w:rPr>
        <w:fldChar w:fldCharType="begin"/>
      </w:r>
      <w:r>
        <w:rPr>
          <w:noProof/>
        </w:rPr>
        <w:instrText xml:space="preserve"> PAGEREF _Toc469577150 \h </w:instrText>
      </w:r>
      <w:r>
        <w:rPr>
          <w:noProof/>
        </w:rPr>
      </w:r>
      <w:r>
        <w:rPr>
          <w:noProof/>
        </w:rPr>
        <w:fldChar w:fldCharType="separate"/>
      </w:r>
      <w:r w:rsidR="00AD27F1">
        <w:rPr>
          <w:noProof/>
        </w:rPr>
        <w:t>25</w:t>
      </w:r>
      <w:r>
        <w:rPr>
          <w:noProof/>
        </w:rPr>
        <w:fldChar w:fldCharType="end"/>
      </w:r>
    </w:p>
    <w:p w:rsidR="00A607B1" w:rsidRDefault="00A607B1">
      <w:pPr>
        <w:pStyle w:val="TOC4"/>
        <w:tabs>
          <w:tab w:val="right" w:pos="8494"/>
        </w:tabs>
        <w:rPr>
          <w:rFonts w:asciiTheme="minorHAnsi" w:eastAsiaTheme="minorEastAsia" w:hAnsiTheme="minorHAnsi" w:cstheme="minorBidi"/>
          <w:noProof/>
          <w:sz w:val="22"/>
          <w:szCs w:val="22"/>
          <w:lang w:eastAsia="en-NZ"/>
        </w:rPr>
      </w:pPr>
      <w:r>
        <w:rPr>
          <w:noProof/>
        </w:rPr>
        <w:t>Table 13:</w:t>
      </w:r>
      <w:r>
        <w:rPr>
          <w:rFonts w:asciiTheme="minorHAnsi" w:eastAsiaTheme="minorEastAsia" w:hAnsiTheme="minorHAnsi" w:cstheme="minorBidi"/>
          <w:noProof/>
          <w:sz w:val="22"/>
          <w:szCs w:val="22"/>
          <w:lang w:eastAsia="en-NZ"/>
        </w:rPr>
        <w:tab/>
      </w:r>
      <w:r>
        <w:rPr>
          <w:noProof/>
        </w:rPr>
        <w:t>Default refrigerant charges and emission factors for refrigeration and air conditioning equipment</w:t>
      </w:r>
      <w:r>
        <w:rPr>
          <w:noProof/>
        </w:rPr>
        <w:tab/>
      </w:r>
      <w:r>
        <w:rPr>
          <w:noProof/>
        </w:rPr>
        <w:fldChar w:fldCharType="begin"/>
      </w:r>
      <w:r>
        <w:rPr>
          <w:noProof/>
        </w:rPr>
        <w:instrText xml:space="preserve"> PAGEREF _Toc469577151 \h </w:instrText>
      </w:r>
      <w:r>
        <w:rPr>
          <w:noProof/>
        </w:rPr>
      </w:r>
      <w:r>
        <w:rPr>
          <w:noProof/>
        </w:rPr>
        <w:fldChar w:fldCharType="separate"/>
      </w:r>
      <w:r w:rsidR="00AD27F1">
        <w:rPr>
          <w:noProof/>
        </w:rPr>
        <w:t>29</w:t>
      </w:r>
      <w:r>
        <w:rPr>
          <w:noProof/>
        </w:rPr>
        <w:fldChar w:fldCharType="end"/>
      </w:r>
    </w:p>
    <w:p w:rsidR="00A607B1" w:rsidRDefault="00A607B1">
      <w:pPr>
        <w:pStyle w:val="TOC4"/>
        <w:tabs>
          <w:tab w:val="right" w:pos="8494"/>
        </w:tabs>
        <w:rPr>
          <w:rFonts w:asciiTheme="minorHAnsi" w:eastAsiaTheme="minorEastAsia" w:hAnsiTheme="minorHAnsi" w:cstheme="minorBidi"/>
          <w:noProof/>
          <w:sz w:val="22"/>
          <w:szCs w:val="22"/>
          <w:lang w:eastAsia="en-NZ"/>
        </w:rPr>
      </w:pPr>
      <w:r>
        <w:rPr>
          <w:noProof/>
        </w:rPr>
        <w:t>Table 14:</w:t>
      </w:r>
      <w:r>
        <w:rPr>
          <w:rFonts w:asciiTheme="minorHAnsi" w:eastAsiaTheme="minorEastAsia" w:hAnsiTheme="minorHAnsi" w:cstheme="minorBidi"/>
          <w:noProof/>
          <w:sz w:val="22"/>
          <w:szCs w:val="22"/>
          <w:lang w:eastAsia="en-NZ"/>
        </w:rPr>
        <w:tab/>
      </w:r>
      <w:r>
        <w:rPr>
          <w:noProof/>
        </w:rPr>
        <w:t>Detailed 100-year global warming potentials for various refrigerant mixtures</w:t>
      </w:r>
      <w:r>
        <w:rPr>
          <w:noProof/>
        </w:rPr>
        <w:tab/>
      </w:r>
      <w:r>
        <w:rPr>
          <w:noProof/>
        </w:rPr>
        <w:fldChar w:fldCharType="begin"/>
      </w:r>
      <w:r>
        <w:rPr>
          <w:noProof/>
        </w:rPr>
        <w:instrText xml:space="preserve"> PAGEREF _Toc469577152 \h </w:instrText>
      </w:r>
      <w:r>
        <w:rPr>
          <w:noProof/>
        </w:rPr>
      </w:r>
      <w:r>
        <w:rPr>
          <w:noProof/>
        </w:rPr>
        <w:fldChar w:fldCharType="separate"/>
      </w:r>
      <w:r w:rsidR="00AD27F1">
        <w:rPr>
          <w:noProof/>
        </w:rPr>
        <w:t>30</w:t>
      </w:r>
      <w:r>
        <w:rPr>
          <w:noProof/>
        </w:rPr>
        <w:fldChar w:fldCharType="end"/>
      </w:r>
    </w:p>
    <w:p w:rsidR="00A607B1" w:rsidRDefault="00A607B1">
      <w:pPr>
        <w:pStyle w:val="TOC4"/>
        <w:tabs>
          <w:tab w:val="right" w:pos="8494"/>
        </w:tabs>
        <w:rPr>
          <w:rFonts w:asciiTheme="minorHAnsi" w:eastAsiaTheme="minorEastAsia" w:hAnsiTheme="minorHAnsi" w:cstheme="minorBidi"/>
          <w:noProof/>
          <w:sz w:val="22"/>
          <w:szCs w:val="22"/>
          <w:lang w:eastAsia="en-NZ"/>
        </w:rPr>
      </w:pPr>
      <w:r>
        <w:rPr>
          <w:noProof/>
        </w:rPr>
        <w:t>Table 15:</w:t>
      </w:r>
      <w:r>
        <w:rPr>
          <w:rFonts w:asciiTheme="minorHAnsi" w:eastAsiaTheme="minorEastAsia" w:hAnsiTheme="minorHAnsi" w:cstheme="minorBidi"/>
          <w:noProof/>
          <w:sz w:val="22"/>
          <w:szCs w:val="22"/>
          <w:lang w:eastAsia="en-NZ"/>
        </w:rPr>
        <w:tab/>
      </w:r>
      <w:r>
        <w:rPr>
          <w:noProof/>
        </w:rPr>
        <w:t>Derivation of emission factors for waste deposited to landfill</w:t>
      </w:r>
      <w:r>
        <w:rPr>
          <w:noProof/>
        </w:rPr>
        <w:tab/>
      </w:r>
      <w:r>
        <w:rPr>
          <w:noProof/>
        </w:rPr>
        <w:fldChar w:fldCharType="begin"/>
      </w:r>
      <w:r>
        <w:rPr>
          <w:noProof/>
        </w:rPr>
        <w:instrText xml:space="preserve"> PAGEREF _Toc469577153 \h </w:instrText>
      </w:r>
      <w:r>
        <w:rPr>
          <w:noProof/>
        </w:rPr>
      </w:r>
      <w:r>
        <w:rPr>
          <w:noProof/>
        </w:rPr>
        <w:fldChar w:fldCharType="separate"/>
      </w:r>
      <w:r w:rsidR="00AD27F1">
        <w:rPr>
          <w:noProof/>
        </w:rPr>
        <w:t>36</w:t>
      </w:r>
      <w:r>
        <w:rPr>
          <w:noProof/>
        </w:rPr>
        <w:fldChar w:fldCharType="end"/>
      </w:r>
    </w:p>
    <w:p w:rsidR="00A607B1" w:rsidRDefault="00A607B1">
      <w:pPr>
        <w:pStyle w:val="TOC4"/>
        <w:tabs>
          <w:tab w:val="right" w:pos="8494"/>
        </w:tabs>
        <w:rPr>
          <w:rFonts w:asciiTheme="minorHAnsi" w:eastAsiaTheme="minorEastAsia" w:hAnsiTheme="minorHAnsi" w:cstheme="minorBidi"/>
          <w:noProof/>
          <w:sz w:val="22"/>
          <w:szCs w:val="22"/>
          <w:lang w:eastAsia="en-NZ"/>
        </w:rPr>
      </w:pPr>
      <w:r>
        <w:rPr>
          <w:noProof/>
        </w:rPr>
        <w:t>Table 16:</w:t>
      </w:r>
      <w:r>
        <w:rPr>
          <w:rFonts w:asciiTheme="minorHAnsi" w:eastAsiaTheme="minorEastAsia" w:hAnsiTheme="minorHAnsi" w:cstheme="minorBidi"/>
          <w:noProof/>
          <w:sz w:val="22"/>
          <w:szCs w:val="22"/>
          <w:lang w:eastAsia="en-NZ"/>
        </w:rPr>
        <w:tab/>
      </w:r>
      <w:r>
        <w:rPr>
          <w:noProof/>
        </w:rPr>
        <w:t xml:space="preserve"> Landfills with gas collection systems</w:t>
      </w:r>
      <w:r>
        <w:rPr>
          <w:noProof/>
        </w:rPr>
        <w:tab/>
      </w:r>
      <w:r>
        <w:rPr>
          <w:noProof/>
        </w:rPr>
        <w:fldChar w:fldCharType="begin"/>
      </w:r>
      <w:r>
        <w:rPr>
          <w:noProof/>
        </w:rPr>
        <w:instrText xml:space="preserve"> PAGEREF _Toc469577154 \h </w:instrText>
      </w:r>
      <w:r>
        <w:rPr>
          <w:noProof/>
        </w:rPr>
      </w:r>
      <w:r>
        <w:rPr>
          <w:noProof/>
        </w:rPr>
        <w:fldChar w:fldCharType="separate"/>
      </w:r>
      <w:r w:rsidR="00AD27F1">
        <w:rPr>
          <w:noProof/>
        </w:rPr>
        <w:t>37</w:t>
      </w:r>
      <w:r>
        <w:rPr>
          <w:noProof/>
        </w:rPr>
        <w:fldChar w:fldCharType="end"/>
      </w:r>
    </w:p>
    <w:p w:rsidR="00725A18" w:rsidRPr="005267D4" w:rsidRDefault="00EA562A" w:rsidP="004E3B1C">
      <w:r>
        <w:fldChar w:fldCharType="end"/>
      </w:r>
    </w:p>
    <w:p w:rsidR="00725A18" w:rsidRPr="005267D4" w:rsidRDefault="00725A18" w:rsidP="004E3B1C"/>
    <w:p w:rsidR="00725A18" w:rsidRDefault="00725A18" w:rsidP="00725A18"/>
    <w:p w:rsidR="00902776" w:rsidRPr="005267D4" w:rsidRDefault="00902776" w:rsidP="00725A18">
      <w:pPr>
        <w:sectPr w:rsidR="00902776" w:rsidRPr="005267D4" w:rsidSect="00B53DD3">
          <w:headerReference w:type="even" r:id="rId17"/>
          <w:footerReference w:type="even" r:id="rId18"/>
          <w:pgSz w:w="11907" w:h="16840" w:code="9"/>
          <w:pgMar w:top="1701" w:right="1418" w:bottom="1701" w:left="1418" w:header="567" w:footer="567" w:gutter="567"/>
          <w:pgNumType w:fmt="lowerRoman"/>
          <w:cols w:space="720"/>
        </w:sectPr>
      </w:pPr>
    </w:p>
    <w:p w:rsidR="00725A18" w:rsidRPr="005267D4" w:rsidRDefault="00725A18" w:rsidP="002537CD">
      <w:pPr>
        <w:pStyle w:val="Heading1"/>
      </w:pPr>
      <w:bookmarkStart w:id="2" w:name="_Toc469577155"/>
      <w:r w:rsidRPr="005267D4">
        <w:lastRenderedPageBreak/>
        <w:t>1</w:t>
      </w:r>
      <w:r w:rsidRPr="005267D4">
        <w:tab/>
      </w:r>
      <w:r w:rsidR="009E3385">
        <w:t>Guidance on reporting</w:t>
      </w:r>
      <w:bookmarkEnd w:id="2"/>
    </w:p>
    <w:p w:rsidR="009E3385" w:rsidRPr="000F1882" w:rsidRDefault="009E3385" w:rsidP="002537CD">
      <w:pPr>
        <w:pStyle w:val="Heading2"/>
      </w:pPr>
      <w:bookmarkStart w:id="3" w:name="_Toc185071688"/>
      <w:bookmarkStart w:id="4" w:name="_Ref185071874"/>
      <w:bookmarkStart w:id="5" w:name="_Toc185407804"/>
      <w:bookmarkStart w:id="6" w:name="_Toc185408059"/>
      <w:bookmarkStart w:id="7" w:name="_Toc209932973"/>
      <w:bookmarkStart w:id="8" w:name="_Toc210026910"/>
      <w:bookmarkStart w:id="9" w:name="_Toc289083946"/>
      <w:bookmarkStart w:id="10" w:name="_Toc469577156"/>
      <w:r w:rsidRPr="000F1882">
        <w:t>1.1</w:t>
      </w:r>
      <w:r w:rsidRPr="000F1882">
        <w:tab/>
        <w:t>Introduction</w:t>
      </w:r>
      <w:bookmarkEnd w:id="3"/>
      <w:bookmarkEnd w:id="4"/>
      <w:bookmarkEnd w:id="5"/>
      <w:bookmarkEnd w:id="6"/>
      <w:bookmarkEnd w:id="7"/>
      <w:bookmarkEnd w:id="8"/>
      <w:bookmarkEnd w:id="9"/>
      <w:bookmarkEnd w:id="10"/>
    </w:p>
    <w:p w:rsidR="00EC1311" w:rsidRDefault="009E3385" w:rsidP="00C87F9B">
      <w:pPr>
        <w:jc w:val="left"/>
      </w:pPr>
      <w:r w:rsidRPr="000F1882">
        <w:t xml:space="preserve">This </w:t>
      </w:r>
      <w:r>
        <w:t>guide</w:t>
      </w:r>
      <w:r w:rsidRPr="000F1882">
        <w:t xml:space="preserve"> has been prepared </w:t>
      </w:r>
      <w:r w:rsidR="00CE1A8E">
        <w:t>for</w:t>
      </w:r>
      <w:r w:rsidR="00CE1A8E" w:rsidRPr="000F1882">
        <w:t xml:space="preserve"> </w:t>
      </w:r>
      <w:r w:rsidR="0064367D">
        <w:t>voluntary</w:t>
      </w:r>
      <w:r w:rsidRPr="000F1882">
        <w:t xml:space="preserve"> greenhouse gas (GHG) reporting, including emission factors.</w:t>
      </w:r>
    </w:p>
    <w:p w:rsidR="009E3385" w:rsidRPr="000F1882" w:rsidRDefault="009E3385" w:rsidP="00C87F9B">
      <w:pPr>
        <w:jc w:val="left"/>
      </w:pPr>
    </w:p>
    <w:p w:rsidR="00EC1311" w:rsidRDefault="000A08D4" w:rsidP="00C87F9B">
      <w:pPr>
        <w:jc w:val="left"/>
      </w:pPr>
      <w:r>
        <w:t>Th</w:t>
      </w:r>
      <w:r w:rsidRPr="007B5351">
        <w:t>e</w:t>
      </w:r>
      <w:r w:rsidR="00E974DF" w:rsidRPr="007B5351">
        <w:t xml:space="preserve"> guide </w:t>
      </w:r>
      <w:r w:rsidR="009E3385" w:rsidRPr="007B5351">
        <w:t>encourage</w:t>
      </w:r>
      <w:r w:rsidR="00DA754A" w:rsidRPr="007B5351">
        <w:t>s</w:t>
      </w:r>
      <w:r w:rsidR="009E3385" w:rsidRPr="007B5351">
        <w:t xml:space="preserve"> best practice in GHG reporting and support</w:t>
      </w:r>
      <w:r w:rsidR="00DA754A" w:rsidRPr="007B5351">
        <w:t>s</w:t>
      </w:r>
      <w:r w:rsidR="009E3385" w:rsidRPr="007B5351">
        <w:t xml:space="preserve"> voluntary GHG reporting </w:t>
      </w:r>
      <w:r w:rsidR="009E3385" w:rsidRPr="000F1882">
        <w:t xml:space="preserve">initiatives. </w:t>
      </w:r>
      <w:r w:rsidR="009E3385" w:rsidRPr="00AE786C">
        <w:t>It endorse</w:t>
      </w:r>
      <w:r w:rsidR="00DA754A" w:rsidRPr="00AE786C">
        <w:t>s</w:t>
      </w:r>
      <w:r w:rsidR="009E3385" w:rsidRPr="000F1882">
        <w:t xml:space="preserve"> the referenced reporting frameworks </w:t>
      </w:r>
      <w:r w:rsidR="007D7771">
        <w:t xml:space="preserve">such as </w:t>
      </w:r>
      <w:r w:rsidR="007D7771" w:rsidRPr="00833119">
        <w:rPr>
          <w:i/>
        </w:rPr>
        <w:t>The GHG Protocol</w:t>
      </w:r>
      <w:r w:rsidR="007D7771">
        <w:t xml:space="preserve"> </w:t>
      </w:r>
      <w:r w:rsidR="009E3385" w:rsidRPr="000F1882">
        <w:t>and provide</w:t>
      </w:r>
      <w:r w:rsidR="00DA754A">
        <w:t>s</w:t>
      </w:r>
      <w:r w:rsidR="009E3385" w:rsidRPr="000F1882">
        <w:t xml:space="preserve"> information (emission factors and methods) to enable organisations to apply them.</w:t>
      </w:r>
    </w:p>
    <w:p w:rsidR="009E3385" w:rsidRPr="000F1882" w:rsidRDefault="009E3385" w:rsidP="00C87F9B">
      <w:pPr>
        <w:jc w:val="left"/>
      </w:pPr>
    </w:p>
    <w:p w:rsidR="00EC1311" w:rsidRDefault="009E3385" w:rsidP="00C87F9B">
      <w:pPr>
        <w:jc w:val="left"/>
      </w:pPr>
      <w:r w:rsidRPr="000F1882">
        <w:t>This guide will be regularly updated to maintain consistency with international best practice and the New Zealand Government</w:t>
      </w:r>
      <w:r w:rsidR="00EC1311">
        <w:t>’</w:t>
      </w:r>
      <w:r w:rsidRPr="000F1882">
        <w:t xml:space="preserve">s national </w:t>
      </w:r>
      <w:r w:rsidR="007B5351">
        <w:t>GHG</w:t>
      </w:r>
      <w:r w:rsidRPr="000F1882">
        <w:t xml:space="preserve"> inventory reporting.</w:t>
      </w:r>
    </w:p>
    <w:p w:rsidR="009E3385" w:rsidRPr="000F1882" w:rsidRDefault="009E3385" w:rsidP="002537CD"/>
    <w:p w:rsidR="00EC1311" w:rsidRDefault="009E3385" w:rsidP="002537CD">
      <w:pPr>
        <w:pStyle w:val="Heading2"/>
      </w:pPr>
      <w:bookmarkStart w:id="11" w:name="_Toc185071689"/>
      <w:bookmarkStart w:id="12" w:name="_Toc185407805"/>
      <w:bookmarkStart w:id="13" w:name="_Toc185408060"/>
      <w:bookmarkStart w:id="14" w:name="_Toc209932974"/>
      <w:bookmarkStart w:id="15" w:name="_Toc210026911"/>
      <w:bookmarkStart w:id="16" w:name="_Toc289083947"/>
      <w:bookmarkStart w:id="17" w:name="_Toc469577157"/>
      <w:r w:rsidRPr="000F1882">
        <w:t>1.2</w:t>
      </w:r>
      <w:r w:rsidRPr="000F1882">
        <w:tab/>
        <w:t>Who is this guide intended for?</w:t>
      </w:r>
      <w:bookmarkEnd w:id="11"/>
      <w:bookmarkEnd w:id="12"/>
      <w:bookmarkEnd w:id="13"/>
      <w:bookmarkEnd w:id="14"/>
      <w:bookmarkEnd w:id="15"/>
      <w:bookmarkEnd w:id="16"/>
      <w:bookmarkEnd w:id="17"/>
    </w:p>
    <w:p w:rsidR="009E3385" w:rsidRPr="000F1882" w:rsidRDefault="009E3385" w:rsidP="00C61BF8">
      <w:pPr>
        <w:jc w:val="left"/>
      </w:pPr>
      <w:r w:rsidRPr="000F1882">
        <w:t xml:space="preserve">This guide is </w:t>
      </w:r>
      <w:r w:rsidR="00460123">
        <w:t>for organisations</w:t>
      </w:r>
      <w:r w:rsidRPr="000F1882">
        <w:t xml:space="preserve"> </w:t>
      </w:r>
      <w:r w:rsidR="004C5B0D">
        <w:t>that</w:t>
      </w:r>
      <w:r w:rsidRPr="000F1882">
        <w:t xml:space="preserve"> wish to voluntarily report </w:t>
      </w:r>
      <w:r w:rsidR="007B5351">
        <w:t>GHG</w:t>
      </w:r>
      <w:r w:rsidRPr="000F1882">
        <w:t xml:space="preserve"> emissions on an organisational basis (sometimes called </w:t>
      </w:r>
      <w:r w:rsidR="00EC1311">
        <w:t>‘</w:t>
      </w:r>
      <w:r w:rsidRPr="000F1882">
        <w:t>corporate</w:t>
      </w:r>
      <w:r w:rsidR="00EC1311">
        <w:t>’</w:t>
      </w:r>
      <w:r w:rsidRPr="000F1882">
        <w:t xml:space="preserve"> or </w:t>
      </w:r>
      <w:r w:rsidR="00EC1311">
        <w:t>‘</w:t>
      </w:r>
      <w:r w:rsidRPr="000F1882">
        <w:t>entity</w:t>
      </w:r>
      <w:r w:rsidR="00EC1311">
        <w:t>’</w:t>
      </w:r>
      <w:r w:rsidRPr="000F1882">
        <w:t xml:space="preserve"> level) for their New Zealand operations.</w:t>
      </w:r>
    </w:p>
    <w:p w:rsidR="009E3385" w:rsidRPr="000F1882" w:rsidRDefault="009E3385" w:rsidP="00C61BF8">
      <w:pPr>
        <w:jc w:val="left"/>
      </w:pPr>
    </w:p>
    <w:p w:rsidR="009E3385" w:rsidRPr="000F1882" w:rsidRDefault="00460123" w:rsidP="00C61BF8">
      <w:pPr>
        <w:jc w:val="left"/>
      </w:pPr>
      <w:r>
        <w:t>This</w:t>
      </w:r>
      <w:r w:rsidR="009E3385" w:rsidRPr="000F1882">
        <w:t xml:space="preserve"> guid</w:t>
      </w:r>
      <w:r w:rsidR="009E3385">
        <w:t>e</w:t>
      </w:r>
      <w:r w:rsidR="009E3385" w:rsidRPr="000F1882">
        <w:t xml:space="preserve"> does not represent, or form part of, </w:t>
      </w:r>
      <w:r w:rsidR="009E3385">
        <w:t>any</w:t>
      </w:r>
      <w:r w:rsidR="009E3385" w:rsidRPr="000F1882">
        <w:t xml:space="preserve"> mandatory reporting framework or scheme.</w:t>
      </w:r>
    </w:p>
    <w:p w:rsidR="009E3385" w:rsidRPr="000F1882" w:rsidRDefault="009E3385" w:rsidP="00C61BF8">
      <w:pPr>
        <w:jc w:val="left"/>
      </w:pPr>
    </w:p>
    <w:p w:rsidR="009E3385" w:rsidRPr="000F1882" w:rsidRDefault="009E3385" w:rsidP="00C61BF8">
      <w:pPr>
        <w:jc w:val="left"/>
      </w:pPr>
      <w:r w:rsidRPr="000F1882">
        <w:t xml:space="preserve">The emission factors and methods contained in this guide are for </w:t>
      </w:r>
      <w:r w:rsidR="001354DD">
        <w:t xml:space="preserve">common </w:t>
      </w:r>
      <w:r w:rsidRPr="000F1882">
        <w:t>emission sources for commercial organisations</w:t>
      </w:r>
      <w:r w:rsidR="001354DD">
        <w:t>.</w:t>
      </w:r>
      <w:r w:rsidRPr="000F1882">
        <w:t xml:space="preserve"> </w:t>
      </w:r>
      <w:r w:rsidR="001354DD">
        <w:t>T</w:t>
      </w:r>
      <w:r w:rsidRPr="000F1882">
        <w:t>his guide</w:t>
      </w:r>
      <w:r w:rsidR="001354DD">
        <w:t>, however,</w:t>
      </w:r>
      <w:r w:rsidRPr="000F1882">
        <w:t xml:space="preserve"> also applies to industrial organisations </w:t>
      </w:r>
      <w:r w:rsidR="004C5B0D">
        <w:t>that</w:t>
      </w:r>
      <w:r w:rsidRPr="000F1882">
        <w:t xml:space="preserve"> wish to voluntarily report on the same emission sources.</w:t>
      </w:r>
    </w:p>
    <w:p w:rsidR="009E3385" w:rsidRPr="000F1882" w:rsidRDefault="009E3385" w:rsidP="00C61BF8">
      <w:pPr>
        <w:jc w:val="left"/>
      </w:pPr>
    </w:p>
    <w:p w:rsidR="00177411" w:rsidRDefault="009E3385" w:rsidP="00C61BF8">
      <w:pPr>
        <w:jc w:val="left"/>
      </w:pPr>
      <w:r w:rsidRPr="000F1882">
        <w:t>These emission factors and methods are not appropriate for a full life</w:t>
      </w:r>
      <w:r w:rsidR="00460123">
        <w:t>-</w:t>
      </w:r>
      <w:r w:rsidRPr="000F1882">
        <w:t>cycle assessment</w:t>
      </w:r>
      <w:r w:rsidR="00660D96">
        <w:t>;</w:t>
      </w:r>
      <w:r w:rsidRPr="000F1882">
        <w:t xml:space="preserve"> or for the purposes of complying with the British Standards Institution PAS 2050 product carbon </w:t>
      </w:r>
      <w:proofErr w:type="spellStart"/>
      <w:r w:rsidRPr="000F1882">
        <w:t>footprinting</w:t>
      </w:r>
      <w:proofErr w:type="spellEnd"/>
      <w:r w:rsidRPr="000F1882">
        <w:t xml:space="preserve"> standard</w:t>
      </w:r>
      <w:r w:rsidR="00660D96">
        <w:t>;</w:t>
      </w:r>
      <w:r w:rsidRPr="000F1882">
        <w:t xml:space="preserve"> or with the draft International Organization of Standardization (ISO) 14067 standard on the carbon footprint of products.</w:t>
      </w:r>
      <w:r>
        <w:t xml:space="preserve"> These factors are not appropriate for life-cycle assessment as they only include direct emissions from activities, and do not include all sources of emissions required for a full life-cycle analysis. </w:t>
      </w:r>
    </w:p>
    <w:p w:rsidR="00177411" w:rsidRDefault="00177411" w:rsidP="00C61BF8">
      <w:pPr>
        <w:jc w:val="left"/>
      </w:pPr>
    </w:p>
    <w:p w:rsidR="009E3385" w:rsidRPr="000F1882" w:rsidRDefault="009E3385" w:rsidP="00C61BF8">
      <w:pPr>
        <w:jc w:val="left"/>
      </w:pPr>
      <w:r w:rsidRPr="00EF2626">
        <w:t>The United Kingdom</w:t>
      </w:r>
      <w:r w:rsidR="00B148DF" w:rsidRPr="00B148DF">
        <w:t xml:space="preserve"> Department for Business, Energy &amp; Industrial Strategy</w:t>
      </w:r>
      <w:r w:rsidRPr="00EF2626">
        <w:t xml:space="preserve"> publish </w:t>
      </w:r>
      <w:r>
        <w:t>emission</w:t>
      </w:r>
      <w:r w:rsidRPr="00EF2626">
        <w:t xml:space="preserve"> factors for a number of emission sources that take into account the life cycle of those activities</w:t>
      </w:r>
      <w:r>
        <w:t>.</w:t>
      </w:r>
      <w:r w:rsidR="00C56980">
        <w:rPr>
          <w:rStyle w:val="FootnoteReference"/>
        </w:rPr>
        <w:footnoteReference w:id="2"/>
      </w:r>
      <w:r>
        <w:t xml:space="preserve"> In addition, </w:t>
      </w:r>
      <w:hyperlink r:id="rId19" w:history="1">
        <w:r w:rsidR="008E21D6" w:rsidRPr="006D68E9">
          <w:rPr>
            <w:rStyle w:val="Hyperlink"/>
          </w:rPr>
          <w:t>T</w:t>
        </w:r>
        <w:r w:rsidRPr="006D68E9">
          <w:rPr>
            <w:rStyle w:val="Hyperlink"/>
          </w:rPr>
          <w:t>he GHG Protocol Initiative</w:t>
        </w:r>
      </w:hyperlink>
      <w:r>
        <w:t xml:space="preserve"> has published standards for the calculation of life-cycle emissions</w:t>
      </w:r>
      <w:r w:rsidRPr="00EF2626">
        <w:t>.</w:t>
      </w:r>
      <w:r w:rsidR="002537CD">
        <w:rPr>
          <w:rStyle w:val="FootnoteReference"/>
        </w:rPr>
        <w:footnoteReference w:id="3"/>
      </w:r>
    </w:p>
    <w:p w:rsidR="009E3385" w:rsidRPr="000F1882" w:rsidRDefault="009E3385" w:rsidP="002537CD"/>
    <w:p w:rsidR="009E3385" w:rsidRPr="000F1882" w:rsidRDefault="009E3385" w:rsidP="002537CD">
      <w:pPr>
        <w:pStyle w:val="Heading2"/>
      </w:pPr>
      <w:bookmarkStart w:id="18" w:name="_Toc210026916"/>
      <w:bookmarkStart w:id="19" w:name="_Toc289083948"/>
      <w:bookmarkStart w:id="20" w:name="_Toc469577158"/>
      <w:r w:rsidRPr="000F1882">
        <w:lastRenderedPageBreak/>
        <w:t>1.3</w:t>
      </w:r>
      <w:r w:rsidRPr="000F1882">
        <w:tab/>
      </w:r>
      <w:r>
        <w:t>Why is</w:t>
      </w:r>
      <w:r w:rsidRPr="000F1882">
        <w:t xml:space="preserve"> this information </w:t>
      </w:r>
      <w:r>
        <w:t xml:space="preserve">not </w:t>
      </w:r>
      <w:r w:rsidRPr="000F1882">
        <w:t>for use in an emissions trading scheme?</w:t>
      </w:r>
      <w:bookmarkEnd w:id="18"/>
      <w:bookmarkEnd w:id="19"/>
      <w:bookmarkEnd w:id="20"/>
    </w:p>
    <w:p w:rsidR="009E3385" w:rsidRPr="000F1882" w:rsidRDefault="009E3385" w:rsidP="006D68E9">
      <w:pPr>
        <w:keepLines/>
        <w:jc w:val="left"/>
      </w:pPr>
      <w:r w:rsidRPr="000F1882">
        <w:t xml:space="preserve">The information in this guide is intended to help organisations </w:t>
      </w:r>
      <w:r w:rsidR="008D3FBA">
        <w:t>that</w:t>
      </w:r>
      <w:r w:rsidRPr="000F1882">
        <w:t xml:space="preserve"> want to </w:t>
      </w:r>
      <w:r w:rsidR="005F6A9D" w:rsidRPr="000F1882">
        <w:t>report GHG</w:t>
      </w:r>
      <w:r w:rsidRPr="000F1882">
        <w:t xml:space="preserve"> emissions on a voluntary basis. Organisations that are required to participate in a mandatory emissions trading scheme</w:t>
      </w:r>
      <w:r w:rsidR="00EB7A6E">
        <w:t xml:space="preserve"> (ETS)</w:t>
      </w:r>
      <w:r w:rsidRPr="000F1882">
        <w:t xml:space="preserve"> will need to comply with the reporting requirements specific to that scheme.</w:t>
      </w:r>
      <w:r>
        <w:t xml:space="preserve"> The rules and regulations of those schemes will determine which emission factors and methods must be used to calculate and report emissions.</w:t>
      </w:r>
    </w:p>
    <w:p w:rsidR="009E3385" w:rsidRPr="000F1882" w:rsidRDefault="009E3385" w:rsidP="002537CD"/>
    <w:p w:rsidR="009E3385" w:rsidRPr="000F1882" w:rsidRDefault="00587FE2" w:rsidP="006D68E9">
      <w:pPr>
        <w:pStyle w:val="Box"/>
        <w:spacing w:before="0"/>
        <w:jc w:val="left"/>
      </w:pPr>
      <w:r>
        <w:t>Organisations</w:t>
      </w:r>
      <w:r w:rsidR="009E3385" w:rsidRPr="000F1882">
        <w:t xml:space="preserve"> with obligations to report greenhouse gases under mandatory schemes (including emissions trading)</w:t>
      </w:r>
      <w:r w:rsidR="008D3FBA">
        <w:t>,</w:t>
      </w:r>
      <w:r w:rsidR="009E3385" w:rsidRPr="000F1882">
        <w:t xml:space="preserve"> or who choose to participate in voluntary </w:t>
      </w:r>
      <w:r w:rsidR="007B5351">
        <w:t xml:space="preserve">GHG </w:t>
      </w:r>
      <w:r w:rsidR="009E3385" w:rsidRPr="000F1882">
        <w:t>emission reporting schemes</w:t>
      </w:r>
      <w:r w:rsidR="008D3FBA">
        <w:t>,</w:t>
      </w:r>
      <w:r w:rsidR="009E3385" w:rsidRPr="000F1882">
        <w:t xml:space="preserve"> should check the rules and requirements of those schemes.</w:t>
      </w:r>
    </w:p>
    <w:p w:rsidR="009E3385" w:rsidRPr="000F1882" w:rsidRDefault="009E3385" w:rsidP="002537CD"/>
    <w:p w:rsidR="009E3385" w:rsidRPr="000F1882" w:rsidRDefault="009E3385" w:rsidP="006D68E9">
      <w:pPr>
        <w:jc w:val="left"/>
      </w:pPr>
      <w:r w:rsidRPr="000F1882">
        <w:t xml:space="preserve">The information in this guide may, however, be useful to </w:t>
      </w:r>
      <w:r w:rsidR="00587FE2">
        <w:t>organisations</w:t>
      </w:r>
      <w:r w:rsidRPr="000F1882">
        <w:t xml:space="preserve"> that have a reporting obligation under an emissions trading scheme for a particular </w:t>
      </w:r>
      <w:r w:rsidR="005F6A9D" w:rsidRPr="000F1882">
        <w:t>activity but</w:t>
      </w:r>
      <w:r w:rsidR="00E2009E">
        <w:t xml:space="preserve"> </w:t>
      </w:r>
      <w:r w:rsidRPr="000F1882">
        <w:t>still wish to publish comprehensive emission reports for their organisation on a voluntary basis. Although this reporting would not constitute compliance with an emissions trading scheme, it may help organisations prepare for, or understand how, an emissions trading scheme might impact on their business.</w:t>
      </w:r>
    </w:p>
    <w:p w:rsidR="009E3385" w:rsidRPr="000F1882" w:rsidRDefault="009E3385" w:rsidP="002537CD"/>
    <w:p w:rsidR="009E3385" w:rsidRPr="000F1882" w:rsidRDefault="009E3385" w:rsidP="002537CD">
      <w:pPr>
        <w:pStyle w:val="Heading2"/>
      </w:pPr>
      <w:bookmarkStart w:id="21" w:name="_Toc185071690"/>
      <w:bookmarkStart w:id="22" w:name="_Toc185407806"/>
      <w:bookmarkStart w:id="23" w:name="_Toc185408061"/>
      <w:bookmarkStart w:id="24" w:name="_Toc209932975"/>
      <w:bookmarkStart w:id="25" w:name="_Toc210026912"/>
      <w:bookmarkStart w:id="26" w:name="_Toc289083949"/>
      <w:bookmarkStart w:id="27" w:name="_Toc469577159"/>
      <w:r w:rsidRPr="000F1882">
        <w:t>1.4</w:t>
      </w:r>
      <w:r w:rsidRPr="000F1882">
        <w:tab/>
        <w:t xml:space="preserve">What </w:t>
      </w:r>
      <w:r w:rsidR="00276370">
        <w:t>standards</w:t>
      </w:r>
      <w:r w:rsidR="00276370" w:rsidRPr="000F1882">
        <w:t xml:space="preserve"> </w:t>
      </w:r>
      <w:r w:rsidRPr="000F1882">
        <w:t>should I follow to report emissions?</w:t>
      </w:r>
      <w:bookmarkEnd w:id="21"/>
      <w:bookmarkEnd w:id="22"/>
      <w:bookmarkEnd w:id="23"/>
      <w:bookmarkEnd w:id="24"/>
      <w:bookmarkEnd w:id="25"/>
      <w:bookmarkEnd w:id="26"/>
      <w:bookmarkEnd w:id="27"/>
    </w:p>
    <w:p w:rsidR="00EC1311" w:rsidRDefault="009E3385" w:rsidP="00537E6E">
      <w:pPr>
        <w:jc w:val="left"/>
      </w:pPr>
      <w:r w:rsidRPr="000F1882">
        <w:t xml:space="preserve">The Ministry for the Environment (the Ministry) recommends </w:t>
      </w:r>
      <w:r w:rsidR="00587FE2">
        <w:t>organisations</w:t>
      </w:r>
      <w:r w:rsidRPr="000F1882">
        <w:t xml:space="preserve"> use the </w:t>
      </w:r>
      <w:r w:rsidRPr="000F1882">
        <w:rPr>
          <w:i/>
        </w:rPr>
        <w:t>Greenhouse Gas Protocol: A Corporate Accounting and Reporting Standard</w:t>
      </w:r>
      <w:r w:rsidRPr="000F1882">
        <w:t xml:space="preserve"> (</w:t>
      </w:r>
      <w:r w:rsidRPr="00833119">
        <w:rPr>
          <w:i/>
        </w:rPr>
        <w:t>The GHG Protocol</w:t>
      </w:r>
      <w:r w:rsidRPr="000F1882">
        <w:t xml:space="preserve">) or </w:t>
      </w:r>
      <w:r w:rsidRPr="000F1882">
        <w:rPr>
          <w:i/>
        </w:rPr>
        <w:t>ISO 14064-1:2006 Greenhouse gases – Part 1 Specification</w:t>
      </w:r>
      <w:r w:rsidRPr="000F1882">
        <w:t xml:space="preserve"> </w:t>
      </w:r>
      <w:r w:rsidRPr="004B0565">
        <w:rPr>
          <w:i/>
        </w:rPr>
        <w:t xml:space="preserve">with guidance at the </w:t>
      </w:r>
      <w:r w:rsidR="00553762" w:rsidRPr="004B0565">
        <w:rPr>
          <w:i/>
        </w:rPr>
        <w:t xml:space="preserve">organisation </w:t>
      </w:r>
      <w:r w:rsidRPr="004B0565">
        <w:rPr>
          <w:i/>
        </w:rPr>
        <w:t xml:space="preserve">level for quantification and reporting of greenhouse gas emissions </w:t>
      </w:r>
      <w:r w:rsidR="004B0565" w:rsidRPr="004B0565">
        <w:rPr>
          <w:i/>
        </w:rPr>
        <w:t>and removals</w:t>
      </w:r>
      <w:r w:rsidR="004B0565">
        <w:t xml:space="preserve"> </w:t>
      </w:r>
      <w:r w:rsidRPr="000F1882">
        <w:t>(</w:t>
      </w:r>
      <w:r w:rsidRPr="000E4C53">
        <w:rPr>
          <w:i/>
        </w:rPr>
        <w:t>ISO 14064-1</w:t>
      </w:r>
      <w:r w:rsidRPr="000F1882">
        <w:t>).</w:t>
      </w:r>
    </w:p>
    <w:p w:rsidR="009E3385" w:rsidRPr="000F1882" w:rsidRDefault="009E3385" w:rsidP="00537E6E">
      <w:pPr>
        <w:jc w:val="left"/>
      </w:pPr>
    </w:p>
    <w:p w:rsidR="009E3385" w:rsidRPr="000F1882" w:rsidRDefault="009E3385" w:rsidP="00537E6E">
      <w:pPr>
        <w:jc w:val="left"/>
      </w:pPr>
      <w:r w:rsidRPr="00833119">
        <w:rPr>
          <w:i/>
        </w:rPr>
        <w:t>The GHG Protocol</w:t>
      </w:r>
      <w:r w:rsidRPr="000F1882">
        <w:t xml:space="preserve"> is a standard developed jointly by the World Resources Institute (WRI) and the World Business Council for Sustainable Development (WBCSD). It is available at </w:t>
      </w:r>
      <w:hyperlink r:id="rId20" w:history="1">
        <w:r w:rsidR="005C4721" w:rsidRPr="00EC747B">
          <w:rPr>
            <w:rStyle w:val="Hyperlink"/>
          </w:rPr>
          <w:t>http://www.ghgprotocol.org/standards/corporate-standard</w:t>
        </w:r>
      </w:hyperlink>
      <w:r w:rsidR="00553762">
        <w:t>.</w:t>
      </w:r>
    </w:p>
    <w:p w:rsidR="009E3385" w:rsidRPr="000F1882" w:rsidRDefault="009E3385" w:rsidP="00537E6E">
      <w:pPr>
        <w:jc w:val="left"/>
      </w:pPr>
    </w:p>
    <w:p w:rsidR="00EC1311" w:rsidRDefault="009E3385" w:rsidP="00537E6E">
      <w:pPr>
        <w:jc w:val="left"/>
      </w:pPr>
      <w:r w:rsidRPr="000F1882">
        <w:t xml:space="preserve">The </w:t>
      </w:r>
      <w:r w:rsidRPr="000E4C53">
        <w:rPr>
          <w:i/>
        </w:rPr>
        <w:t>ISO 14064-1</w:t>
      </w:r>
      <w:r w:rsidRPr="000F1882">
        <w:t xml:space="preserve"> standard is published by the International Standards Organisation. This standard is closely based on </w:t>
      </w:r>
      <w:r w:rsidRPr="00833119">
        <w:rPr>
          <w:i/>
        </w:rPr>
        <w:t>The GHG Protocol</w:t>
      </w:r>
      <w:r w:rsidRPr="000F1882">
        <w:t>.</w:t>
      </w:r>
    </w:p>
    <w:p w:rsidR="009E3385" w:rsidRPr="000F1882" w:rsidRDefault="009E3385" w:rsidP="00537E6E">
      <w:pPr>
        <w:jc w:val="left"/>
      </w:pPr>
    </w:p>
    <w:p w:rsidR="009E3385" w:rsidRPr="000F1882" w:rsidRDefault="009E3385" w:rsidP="00537E6E">
      <w:pPr>
        <w:pStyle w:val="Box"/>
        <w:spacing w:before="0"/>
        <w:jc w:val="left"/>
      </w:pPr>
      <w:r w:rsidRPr="000F1882">
        <w:t xml:space="preserve">The Ministry for the Environment </w:t>
      </w:r>
      <w:r w:rsidRPr="00AE786C">
        <w:t>endorses</w:t>
      </w:r>
      <w:r w:rsidRPr="000F1882">
        <w:t xml:space="preserve"> both </w:t>
      </w:r>
      <w:r w:rsidRPr="000F1882">
        <w:rPr>
          <w:i/>
        </w:rPr>
        <w:t>The GHG Protocol</w:t>
      </w:r>
      <w:r w:rsidRPr="000F1882">
        <w:t xml:space="preserve"> and </w:t>
      </w:r>
      <w:r w:rsidRPr="000F1882">
        <w:rPr>
          <w:i/>
        </w:rPr>
        <w:t>ISO 14064-1</w:t>
      </w:r>
      <w:r w:rsidRPr="000F1882">
        <w:t xml:space="preserve"> for voluntary corporate GHG reporting.</w:t>
      </w:r>
    </w:p>
    <w:p w:rsidR="009E3385" w:rsidRPr="000F1882" w:rsidRDefault="009E3385" w:rsidP="00537E6E">
      <w:pPr>
        <w:jc w:val="left"/>
      </w:pPr>
    </w:p>
    <w:p w:rsidR="009E3385" w:rsidRPr="000F1882" w:rsidRDefault="009E3385" w:rsidP="00537E6E">
      <w:pPr>
        <w:pStyle w:val="Heading3"/>
      </w:pPr>
      <w:bookmarkStart w:id="28" w:name="_Toc185407807"/>
      <w:bookmarkStart w:id="29" w:name="_Toc185408062"/>
      <w:bookmarkStart w:id="30" w:name="_Toc209932976"/>
      <w:bookmarkStart w:id="31" w:name="_Toc210026913"/>
      <w:bookmarkStart w:id="32" w:name="_Toc289083950"/>
      <w:bookmarkStart w:id="33" w:name="_Toc469577160"/>
      <w:r w:rsidRPr="000F1882">
        <w:t>1.</w:t>
      </w:r>
      <w:r w:rsidR="00260164">
        <w:t>4.1</w:t>
      </w:r>
      <w:r w:rsidRPr="000F1882">
        <w:tab/>
        <w:t xml:space="preserve">What do </w:t>
      </w:r>
      <w:r>
        <w:t>t</w:t>
      </w:r>
      <w:r w:rsidRPr="000F1882">
        <w:t>he GHG Protocol and ISO 14064-1 cover?</w:t>
      </w:r>
      <w:bookmarkEnd w:id="28"/>
      <w:bookmarkEnd w:id="29"/>
      <w:bookmarkEnd w:id="30"/>
      <w:bookmarkEnd w:id="31"/>
      <w:bookmarkEnd w:id="32"/>
      <w:bookmarkEnd w:id="33"/>
    </w:p>
    <w:p w:rsidR="009E3385" w:rsidRPr="000F1882" w:rsidRDefault="009E3385" w:rsidP="00537E6E">
      <w:pPr>
        <w:keepNext/>
        <w:jc w:val="left"/>
      </w:pPr>
      <w:r w:rsidRPr="000F1882">
        <w:t>These standards provide comprehensive guidance on the core issues of GHG monitoring and reporting at an organisational level, including:</w:t>
      </w:r>
    </w:p>
    <w:p w:rsidR="00EC1311" w:rsidRDefault="009E3385" w:rsidP="00537E6E">
      <w:pPr>
        <w:pStyle w:val="Bullet"/>
        <w:spacing w:before="60"/>
        <w:jc w:val="left"/>
      </w:pPr>
      <w:r w:rsidRPr="000F1882">
        <w:t>principles underlying monitoring and reporting</w:t>
      </w:r>
    </w:p>
    <w:p w:rsidR="009E3385" w:rsidRPr="000F1882" w:rsidRDefault="009E3385" w:rsidP="00537E6E">
      <w:pPr>
        <w:pStyle w:val="Bullet"/>
        <w:spacing w:before="60"/>
        <w:jc w:val="left"/>
      </w:pPr>
      <w:r w:rsidRPr="000F1882">
        <w:t>setting organisational boundaries</w:t>
      </w:r>
    </w:p>
    <w:p w:rsidR="009E3385" w:rsidRPr="000F1882" w:rsidRDefault="009E3385" w:rsidP="002537CD">
      <w:pPr>
        <w:pStyle w:val="Bullet"/>
        <w:spacing w:before="60"/>
      </w:pPr>
      <w:r w:rsidRPr="000F1882">
        <w:lastRenderedPageBreak/>
        <w:t>setting operational boundaries</w:t>
      </w:r>
    </w:p>
    <w:p w:rsidR="00EC1311" w:rsidRDefault="009E3385" w:rsidP="002537CD">
      <w:pPr>
        <w:pStyle w:val="Bullet"/>
        <w:spacing w:before="60"/>
      </w:pPr>
      <w:r w:rsidRPr="000F1882">
        <w:t>establishing a base year</w:t>
      </w:r>
    </w:p>
    <w:p w:rsidR="009E3385" w:rsidRPr="000F1882" w:rsidRDefault="009E3385" w:rsidP="002537CD">
      <w:pPr>
        <w:pStyle w:val="Bullet"/>
        <w:spacing w:before="60"/>
      </w:pPr>
      <w:r w:rsidRPr="000F1882">
        <w:t>managing the quality of a GHG inventory</w:t>
      </w:r>
    </w:p>
    <w:p w:rsidR="00EC1311" w:rsidRDefault="009E3385" w:rsidP="002537CD">
      <w:pPr>
        <w:pStyle w:val="Bullet"/>
        <w:spacing w:before="60"/>
      </w:pPr>
      <w:r w:rsidRPr="000F1882">
        <w:t>content of GHG reports.</w:t>
      </w:r>
    </w:p>
    <w:p w:rsidR="009E3385" w:rsidRPr="000F1882" w:rsidRDefault="009E3385" w:rsidP="002537CD">
      <w:bookmarkStart w:id="34" w:name="_Toc185407808"/>
      <w:bookmarkStart w:id="35" w:name="_Toc209932977"/>
    </w:p>
    <w:p w:rsidR="009E3385" w:rsidRPr="000F1882" w:rsidRDefault="009E3385" w:rsidP="00260164">
      <w:pPr>
        <w:pStyle w:val="Heading3"/>
      </w:pPr>
      <w:bookmarkStart w:id="36" w:name="_Toc210026914"/>
      <w:bookmarkStart w:id="37" w:name="_Toc289083951"/>
      <w:bookmarkStart w:id="38" w:name="_Toc469577161"/>
      <w:r w:rsidRPr="000F1882">
        <w:t>1.</w:t>
      </w:r>
      <w:r w:rsidR="00260164">
        <w:t>4.2</w:t>
      </w:r>
      <w:r w:rsidRPr="000F1882">
        <w:tab/>
        <w:t>What is the difference between these standards?</w:t>
      </w:r>
      <w:bookmarkEnd w:id="34"/>
      <w:bookmarkEnd w:id="35"/>
      <w:bookmarkEnd w:id="36"/>
      <w:bookmarkEnd w:id="37"/>
      <w:bookmarkEnd w:id="38"/>
    </w:p>
    <w:p w:rsidR="009E3385" w:rsidRPr="000F1882" w:rsidRDefault="009E3385" w:rsidP="006523AF">
      <w:pPr>
        <w:jc w:val="left"/>
      </w:pPr>
      <w:r w:rsidRPr="000F1882">
        <w:rPr>
          <w:i/>
        </w:rPr>
        <w:t>ISO 14064-1</w:t>
      </w:r>
      <w:r w:rsidRPr="000F1882">
        <w:t xml:space="preserve"> is a shorter, more direct document than </w:t>
      </w:r>
      <w:r w:rsidRPr="000F1882">
        <w:rPr>
          <w:i/>
        </w:rPr>
        <w:t>The GHG Protocol,</w:t>
      </w:r>
      <w:r w:rsidRPr="000F1882">
        <w:t xml:space="preserve"> which is more descriptive and discusses, for example, motivational reasons for reporting </w:t>
      </w:r>
      <w:r w:rsidR="007B5351">
        <w:t xml:space="preserve">GHG </w:t>
      </w:r>
      <w:r w:rsidRPr="000F1882">
        <w:t xml:space="preserve">emissions. </w:t>
      </w:r>
      <w:r w:rsidRPr="000F1882">
        <w:rPr>
          <w:i/>
        </w:rPr>
        <w:t>ISO 14064-1</w:t>
      </w:r>
      <w:r w:rsidRPr="000F1882">
        <w:t xml:space="preserve"> refers users to </w:t>
      </w:r>
      <w:r w:rsidRPr="000F1882">
        <w:rPr>
          <w:i/>
        </w:rPr>
        <w:t>The GHG Protocol</w:t>
      </w:r>
      <w:r w:rsidRPr="000F1882">
        <w:t xml:space="preserve"> for further detail on some issues.</w:t>
      </w:r>
    </w:p>
    <w:p w:rsidR="009E3385" w:rsidRPr="000F1882" w:rsidRDefault="009E3385" w:rsidP="006523AF">
      <w:pPr>
        <w:jc w:val="left"/>
      </w:pPr>
    </w:p>
    <w:p w:rsidR="009E3385" w:rsidRPr="000F1882" w:rsidRDefault="009E3385" w:rsidP="006523AF">
      <w:pPr>
        <w:jc w:val="left"/>
      </w:pPr>
      <w:r w:rsidRPr="000F1882">
        <w:t xml:space="preserve">In general, those choosing to report against the ISO standard would </w:t>
      </w:r>
      <w:r w:rsidR="00E23CBE">
        <w:t xml:space="preserve">find </w:t>
      </w:r>
      <w:r w:rsidRPr="000F1882">
        <w:rPr>
          <w:i/>
        </w:rPr>
        <w:t>The GHG Protocol</w:t>
      </w:r>
      <w:r w:rsidRPr="000F1882">
        <w:t xml:space="preserve"> </w:t>
      </w:r>
      <w:r w:rsidR="00E23CBE">
        <w:t xml:space="preserve">useful </w:t>
      </w:r>
      <w:r w:rsidRPr="000F1882">
        <w:t xml:space="preserve">for </w:t>
      </w:r>
      <w:r w:rsidR="00E23CBE">
        <w:t xml:space="preserve">providing </w:t>
      </w:r>
      <w:r w:rsidRPr="000F1882">
        <w:t>context.</w:t>
      </w:r>
    </w:p>
    <w:p w:rsidR="009E3385" w:rsidRPr="000F1882" w:rsidRDefault="009E3385" w:rsidP="002537CD"/>
    <w:p w:rsidR="009E3385" w:rsidRPr="000F1882" w:rsidRDefault="009E3385" w:rsidP="002537CD">
      <w:pPr>
        <w:pStyle w:val="Heading2"/>
      </w:pPr>
      <w:bookmarkStart w:id="39" w:name="_Toc185407809"/>
      <w:bookmarkStart w:id="40" w:name="_Toc209932978"/>
      <w:bookmarkStart w:id="41" w:name="_Toc210026915"/>
      <w:bookmarkStart w:id="42" w:name="_Toc289083952"/>
      <w:bookmarkStart w:id="43" w:name="_Toc469577162"/>
      <w:r w:rsidRPr="000F1882">
        <w:t>1.</w:t>
      </w:r>
      <w:r w:rsidR="00B547E6">
        <w:t>5</w:t>
      </w:r>
      <w:r w:rsidRPr="000F1882">
        <w:tab/>
        <w:t>What information do I need?</w:t>
      </w:r>
      <w:bookmarkEnd w:id="39"/>
      <w:bookmarkEnd w:id="40"/>
      <w:bookmarkEnd w:id="41"/>
      <w:bookmarkEnd w:id="42"/>
      <w:bookmarkEnd w:id="43"/>
    </w:p>
    <w:p w:rsidR="00EC1311" w:rsidRDefault="00E23CBE" w:rsidP="006523AF">
      <w:pPr>
        <w:jc w:val="left"/>
      </w:pPr>
      <w:r>
        <w:t>To</w:t>
      </w:r>
      <w:r w:rsidR="009E3385" w:rsidRPr="000F1882">
        <w:t xml:space="preserve"> report emissions, organisations require a method of converting data they gather about activities (</w:t>
      </w:r>
      <w:proofErr w:type="spellStart"/>
      <w:r w:rsidR="009E3385" w:rsidRPr="000F1882">
        <w:t>eg</w:t>
      </w:r>
      <w:proofErr w:type="spellEnd"/>
      <w:r w:rsidR="009E3385" w:rsidRPr="000F1882">
        <w:t>, vehicle travel) in their organisation into information about their emissions (</w:t>
      </w:r>
      <w:r w:rsidR="009E3385">
        <w:t>measured in</w:t>
      </w:r>
      <w:r w:rsidR="009E3385" w:rsidRPr="000F1882">
        <w:t xml:space="preserve"> tonnes of </w:t>
      </w:r>
      <w:r w:rsidR="00E678C0">
        <w:t>carbon dioxide (</w:t>
      </w:r>
      <w:r w:rsidR="009E3385" w:rsidRPr="000F1882">
        <w:t>CO</w:t>
      </w:r>
      <w:r w:rsidR="009E3385" w:rsidRPr="000F1882">
        <w:rPr>
          <w:vertAlign w:val="subscript"/>
        </w:rPr>
        <w:t>2</w:t>
      </w:r>
      <w:r w:rsidR="00E678C0">
        <w:t xml:space="preserve">) </w:t>
      </w:r>
      <w:r w:rsidR="009E3385" w:rsidRPr="000F1882">
        <w:t xml:space="preserve">equivalent). These methods involve using </w:t>
      </w:r>
      <w:r w:rsidR="00EC1311">
        <w:t>‘</w:t>
      </w:r>
      <w:r w:rsidR="009E3385" w:rsidRPr="000F1882">
        <w:t>emission factors</w:t>
      </w:r>
      <w:r w:rsidR="00EC1311">
        <w:t>’</w:t>
      </w:r>
      <w:r w:rsidR="009E3385" w:rsidRPr="000F1882">
        <w:t>. An emission factor allows GHG emissions to be estimated from a unit of available activity data (</w:t>
      </w:r>
      <w:proofErr w:type="spellStart"/>
      <w:r w:rsidR="009E3385" w:rsidRPr="000F1882">
        <w:t>eg</w:t>
      </w:r>
      <w:proofErr w:type="spellEnd"/>
      <w:r w:rsidR="009E3385" w:rsidRPr="000F1882">
        <w:t>, litres of fuel consumed).</w:t>
      </w:r>
    </w:p>
    <w:p w:rsidR="009E3385" w:rsidRPr="000F1882" w:rsidRDefault="009E3385" w:rsidP="006523AF">
      <w:pPr>
        <w:jc w:val="left"/>
      </w:pPr>
    </w:p>
    <w:p w:rsidR="009E3385" w:rsidRPr="000F1882" w:rsidRDefault="009E3385" w:rsidP="006523AF">
      <w:pPr>
        <w:jc w:val="left"/>
      </w:pPr>
      <w:r w:rsidRPr="000F1882">
        <w:t xml:space="preserve">Emission factors are available from a number of sources (including from the </w:t>
      </w:r>
      <w:hyperlink r:id="rId21" w:history="1">
        <w:r w:rsidR="009A0333">
          <w:rPr>
            <w:rStyle w:val="Hyperlink"/>
          </w:rPr>
          <w:t>GHG Protocol Initiative</w:t>
        </w:r>
      </w:hyperlink>
      <w:r w:rsidRPr="000F1882">
        <w:t xml:space="preserve"> website). However, there has been demand for the Ministry to publish a consistent list of emission factors and methods (how the emission factors should be applied) specifically </w:t>
      </w:r>
      <w:r w:rsidR="005F6A9D" w:rsidRPr="000F1882">
        <w:t xml:space="preserve">for common corporate emission </w:t>
      </w:r>
      <w:r w:rsidR="00555E49" w:rsidRPr="000F1882">
        <w:t xml:space="preserve">sources </w:t>
      </w:r>
      <w:r w:rsidR="00555E49">
        <w:t>in</w:t>
      </w:r>
      <w:r w:rsidRPr="000F1882">
        <w:t xml:space="preserve"> New Zealand.</w:t>
      </w:r>
    </w:p>
    <w:p w:rsidR="009E3385" w:rsidRPr="000F1882" w:rsidRDefault="009E3385" w:rsidP="006523AF">
      <w:pPr>
        <w:jc w:val="left"/>
      </w:pPr>
    </w:p>
    <w:p w:rsidR="009E3385" w:rsidRPr="000F1882" w:rsidRDefault="009E3385" w:rsidP="006523AF">
      <w:pPr>
        <w:jc w:val="left"/>
      </w:pPr>
      <w:r w:rsidRPr="000F1882">
        <w:t>This guide draws on technical information provided by New Zealand government agencies, and presents it in a form suitable for voluntary, corporate GHG reporting. It also uses some international data where New Zealand-specific information is not available.</w:t>
      </w:r>
    </w:p>
    <w:p w:rsidR="009E3385" w:rsidRPr="000F1882" w:rsidRDefault="009E3385" w:rsidP="006523AF">
      <w:pPr>
        <w:jc w:val="left"/>
      </w:pPr>
    </w:p>
    <w:p w:rsidR="009E3385" w:rsidRPr="000F1882" w:rsidRDefault="009E3385" w:rsidP="006523AF">
      <w:pPr>
        <w:pStyle w:val="Box"/>
        <w:keepNext/>
        <w:spacing w:before="0"/>
        <w:jc w:val="left"/>
      </w:pPr>
      <w:r w:rsidRPr="003A281F">
        <w:t>This guide provides emission factors and methods for common emission sources, f</w:t>
      </w:r>
      <w:r w:rsidR="00E23D9B">
        <w:t>or</w:t>
      </w:r>
      <w:r w:rsidRPr="003A281F">
        <w:t xml:space="preserve"> the </w:t>
      </w:r>
      <w:r w:rsidR="00A64FAE">
        <w:t>201</w:t>
      </w:r>
      <w:r w:rsidR="00E23D9B">
        <w:t>6</w:t>
      </w:r>
      <w:r w:rsidR="00A64FAE" w:rsidRPr="003A281F">
        <w:t xml:space="preserve"> </w:t>
      </w:r>
      <w:r w:rsidRPr="003A281F">
        <w:t>calendar year. The Ministry will update the information on emission factors annually.</w:t>
      </w:r>
    </w:p>
    <w:p w:rsidR="009E3385" w:rsidRPr="000F1882" w:rsidRDefault="009E3385" w:rsidP="006523AF">
      <w:pPr>
        <w:pStyle w:val="Box"/>
        <w:jc w:val="left"/>
      </w:pPr>
      <w:r w:rsidRPr="000F1882">
        <w:t>This guide also details how these emission factors were derived and assumptions surrounding their use.</w:t>
      </w:r>
    </w:p>
    <w:p w:rsidR="009E3385" w:rsidRPr="000F1882" w:rsidRDefault="009E3385" w:rsidP="002537CD">
      <w:bookmarkStart w:id="44" w:name="_Toc185407810"/>
      <w:bookmarkStart w:id="45" w:name="_Toc209932979"/>
    </w:p>
    <w:p w:rsidR="009E3385" w:rsidRPr="000F1882" w:rsidRDefault="009E3385" w:rsidP="002537CD">
      <w:pPr>
        <w:pStyle w:val="Heading2"/>
      </w:pPr>
      <w:bookmarkStart w:id="46" w:name="_Toc185407811"/>
      <w:bookmarkStart w:id="47" w:name="_Toc209932980"/>
      <w:bookmarkStart w:id="48" w:name="_Toc210026917"/>
      <w:bookmarkStart w:id="49" w:name="_Toc289083953"/>
      <w:bookmarkStart w:id="50" w:name="_Toc469577163"/>
      <w:bookmarkEnd w:id="44"/>
      <w:bookmarkEnd w:id="45"/>
      <w:r w:rsidRPr="000F1882">
        <w:t>1.</w:t>
      </w:r>
      <w:r w:rsidR="00B547E6">
        <w:t>6</w:t>
      </w:r>
      <w:r w:rsidRPr="000F1882">
        <w:tab/>
        <w:t>Verification</w:t>
      </w:r>
      <w:bookmarkEnd w:id="46"/>
      <w:bookmarkEnd w:id="47"/>
      <w:bookmarkEnd w:id="48"/>
      <w:bookmarkEnd w:id="49"/>
      <w:bookmarkEnd w:id="50"/>
    </w:p>
    <w:p w:rsidR="009E3385" w:rsidRPr="000F1882" w:rsidRDefault="009E3385" w:rsidP="00517046">
      <w:pPr>
        <w:pStyle w:val="Heading3"/>
      </w:pPr>
      <w:bookmarkStart w:id="51" w:name="_Toc185407812"/>
      <w:bookmarkStart w:id="52" w:name="_Toc209932981"/>
      <w:bookmarkStart w:id="53" w:name="_Toc210026918"/>
      <w:bookmarkStart w:id="54" w:name="_Toc289083954"/>
      <w:bookmarkStart w:id="55" w:name="_Toc469577164"/>
      <w:r w:rsidRPr="000F1882">
        <w:t>1.</w:t>
      </w:r>
      <w:r w:rsidR="00B547E6">
        <w:t>6</w:t>
      </w:r>
      <w:r w:rsidRPr="000F1882">
        <w:t>.1</w:t>
      </w:r>
      <w:r w:rsidRPr="000F1882">
        <w:tab/>
        <w:t>Should I have my emissions inventory verified?</w:t>
      </w:r>
      <w:bookmarkEnd w:id="51"/>
      <w:bookmarkEnd w:id="52"/>
      <w:bookmarkEnd w:id="53"/>
      <w:bookmarkEnd w:id="54"/>
      <w:bookmarkEnd w:id="55"/>
    </w:p>
    <w:p w:rsidR="00EC1311" w:rsidRDefault="009E3385" w:rsidP="00517046">
      <w:pPr>
        <w:jc w:val="left"/>
      </w:pPr>
      <w:r w:rsidRPr="000F1882">
        <w:t xml:space="preserve">The term </w:t>
      </w:r>
      <w:r w:rsidR="00EC1311">
        <w:t>‘</w:t>
      </w:r>
      <w:r w:rsidRPr="000F1882">
        <w:t>verification</w:t>
      </w:r>
      <w:r w:rsidR="00EC1311">
        <w:t>’</w:t>
      </w:r>
      <w:r w:rsidRPr="000F1882">
        <w:t xml:space="preserve"> is generally used to refer to scrutiny by a suitably qualified, independent body or person to confirm the extent to which an emissions inventory is a fair representation of the actual situation.</w:t>
      </w:r>
    </w:p>
    <w:p w:rsidR="009E3385" w:rsidRPr="000F1882" w:rsidRDefault="009E3385" w:rsidP="002537CD"/>
    <w:p w:rsidR="009E3385" w:rsidRPr="000F1882" w:rsidRDefault="009E3385" w:rsidP="00ED6C80">
      <w:pPr>
        <w:pStyle w:val="Box"/>
        <w:spacing w:before="0"/>
        <w:jc w:val="left"/>
      </w:pPr>
      <w:r w:rsidRPr="000F1882">
        <w:lastRenderedPageBreak/>
        <w:t>Verification provides you and your stakeholders with confidence about the accuracy of an emissions inventory. If an emissions inventory is intended for public release</w:t>
      </w:r>
      <w:r w:rsidR="00B93A9E">
        <w:t>,</w:t>
      </w:r>
      <w:r w:rsidRPr="000F1882">
        <w:t xml:space="preserve"> then the Ministry for the Environment recommends that </w:t>
      </w:r>
      <w:r w:rsidR="00587FE2">
        <w:t>organisations</w:t>
      </w:r>
      <w:r w:rsidRPr="000F1882">
        <w:t xml:space="preserve"> obtain independent verification of the inventory to confirm that calculations are accurate, and the correct methodology has been followed.</w:t>
      </w:r>
    </w:p>
    <w:p w:rsidR="009E3385" w:rsidRPr="000F1882" w:rsidRDefault="009E3385" w:rsidP="002537CD"/>
    <w:p w:rsidR="009E3385" w:rsidRPr="000F1882" w:rsidRDefault="009E3385" w:rsidP="002537CD">
      <w:pPr>
        <w:pStyle w:val="Heading3"/>
      </w:pPr>
      <w:bookmarkStart w:id="56" w:name="_Toc185407813"/>
      <w:bookmarkStart w:id="57" w:name="_Toc209932982"/>
      <w:bookmarkStart w:id="58" w:name="_Toc210026919"/>
      <w:bookmarkStart w:id="59" w:name="_Toc289083955"/>
      <w:bookmarkStart w:id="60" w:name="_Toc469577165"/>
      <w:r w:rsidRPr="000F1882">
        <w:t>1.</w:t>
      </w:r>
      <w:r w:rsidR="00B547E6">
        <w:t>6</w:t>
      </w:r>
      <w:r w:rsidRPr="000F1882">
        <w:t>.2</w:t>
      </w:r>
      <w:r w:rsidRPr="000F1882">
        <w:tab/>
        <w:t>Who should verify my inventory?</w:t>
      </w:r>
      <w:bookmarkEnd w:id="56"/>
      <w:bookmarkEnd w:id="57"/>
      <w:bookmarkEnd w:id="58"/>
      <w:bookmarkEnd w:id="59"/>
      <w:bookmarkEnd w:id="60"/>
    </w:p>
    <w:p w:rsidR="009E3385" w:rsidRPr="000F1882" w:rsidRDefault="009E3385" w:rsidP="00ED6C80">
      <w:pPr>
        <w:jc w:val="left"/>
      </w:pPr>
      <w:bookmarkStart w:id="61" w:name="_Toc185407814"/>
      <w:r w:rsidRPr="000F1882">
        <w:t xml:space="preserve">An accreditation framework has been developed by the Joint Accreditation System of Australia and New Zealand (JAS-ANZ) which accredits verifiers to the </w:t>
      </w:r>
      <w:r w:rsidRPr="009461E8">
        <w:rPr>
          <w:i/>
        </w:rPr>
        <w:t>ISO</w:t>
      </w:r>
      <w:r w:rsidRPr="000F1882">
        <w:t xml:space="preserve"> </w:t>
      </w:r>
      <w:r w:rsidRPr="009461E8">
        <w:rPr>
          <w:i/>
        </w:rPr>
        <w:t>14065</w:t>
      </w:r>
      <w:r w:rsidRPr="000F1882">
        <w:t xml:space="preserve"> standard. This confirms that these verifiers are suitably qualified and enables them to certify an inventory as being prepared in accordance with </w:t>
      </w:r>
      <w:r w:rsidRPr="000F1882">
        <w:rPr>
          <w:i/>
        </w:rPr>
        <w:t>ISO 14064-1</w:t>
      </w:r>
      <w:r w:rsidRPr="000F1882">
        <w:t>.</w:t>
      </w:r>
      <w:bookmarkEnd w:id="61"/>
      <w:r w:rsidRPr="002537CD">
        <w:rPr>
          <w:rStyle w:val="FootnoteReference"/>
        </w:rPr>
        <w:footnoteReference w:id="4"/>
      </w:r>
    </w:p>
    <w:p w:rsidR="009E3385" w:rsidRPr="000F1882" w:rsidRDefault="009E3385" w:rsidP="00ED6C80">
      <w:pPr>
        <w:jc w:val="left"/>
      </w:pPr>
    </w:p>
    <w:p w:rsidR="009E3385" w:rsidRPr="000F1882" w:rsidRDefault="009E3385" w:rsidP="00ED6C80">
      <w:pPr>
        <w:jc w:val="left"/>
      </w:pPr>
      <w:r w:rsidRPr="000F1882">
        <w:t>The Ministry recommends that organisations use verifiers who:</w:t>
      </w:r>
    </w:p>
    <w:p w:rsidR="009E3385" w:rsidRPr="000F1882" w:rsidRDefault="009E3385" w:rsidP="00ED6C80">
      <w:pPr>
        <w:pStyle w:val="Bullet"/>
        <w:spacing w:before="60"/>
        <w:jc w:val="left"/>
      </w:pPr>
      <w:r w:rsidRPr="000F1882">
        <w:t>are independent</w:t>
      </w:r>
    </w:p>
    <w:p w:rsidR="009E3385" w:rsidRPr="000F1882" w:rsidRDefault="009E3385" w:rsidP="00ED6C80">
      <w:pPr>
        <w:pStyle w:val="Bullet"/>
        <w:spacing w:before="60"/>
        <w:jc w:val="left"/>
      </w:pPr>
      <w:r w:rsidRPr="000F1882">
        <w:t>are members of a suitable professional organisation</w:t>
      </w:r>
    </w:p>
    <w:p w:rsidR="009E3385" w:rsidRPr="000F1882" w:rsidRDefault="009E3385" w:rsidP="00ED6C80">
      <w:pPr>
        <w:pStyle w:val="Bullet"/>
        <w:spacing w:before="60"/>
        <w:jc w:val="left"/>
      </w:pPr>
      <w:r w:rsidRPr="000F1882">
        <w:t>can demonstrate they have experience with emissions inventories</w:t>
      </w:r>
    </w:p>
    <w:p w:rsidR="00EC1311" w:rsidRDefault="009E3385" w:rsidP="00ED6C80">
      <w:pPr>
        <w:pStyle w:val="Bullet"/>
        <w:spacing w:before="60"/>
        <w:jc w:val="left"/>
      </w:pPr>
      <w:r w:rsidRPr="000F1882">
        <w:t xml:space="preserve">understand </w:t>
      </w:r>
      <w:r w:rsidRPr="009461E8">
        <w:rPr>
          <w:i/>
        </w:rPr>
        <w:t>ISO 14064</w:t>
      </w:r>
      <w:r w:rsidRPr="000F1882">
        <w:t xml:space="preserve"> and </w:t>
      </w:r>
      <w:r w:rsidRPr="00B20150">
        <w:rPr>
          <w:i/>
        </w:rPr>
        <w:t>The GHG Protocol</w:t>
      </w:r>
    </w:p>
    <w:p w:rsidR="00EC1311" w:rsidRDefault="009E3385" w:rsidP="00ED6C80">
      <w:pPr>
        <w:pStyle w:val="Bullet"/>
        <w:spacing w:before="60"/>
        <w:jc w:val="left"/>
      </w:pPr>
      <w:r w:rsidRPr="000F1882">
        <w:t>have effective internal peer review and quality control procedures.</w:t>
      </w:r>
    </w:p>
    <w:p w:rsidR="009E3385" w:rsidRPr="000F1882" w:rsidRDefault="009E3385" w:rsidP="00ED6C80">
      <w:pPr>
        <w:jc w:val="left"/>
      </w:pPr>
    </w:p>
    <w:p w:rsidR="009E3385" w:rsidRPr="000F1882" w:rsidRDefault="00587FE2" w:rsidP="00ED6C80">
      <w:pPr>
        <w:keepLines/>
        <w:jc w:val="left"/>
      </w:pPr>
      <w:r>
        <w:rPr>
          <w:lang w:eastAsia="en-GB"/>
        </w:rPr>
        <w:t>Organisations</w:t>
      </w:r>
      <w:r w:rsidR="009E3385" w:rsidRPr="000F1882">
        <w:rPr>
          <w:lang w:eastAsia="en-GB"/>
        </w:rPr>
        <w:t xml:space="preserve"> that have achieved the status of </w:t>
      </w:r>
      <w:r w:rsidR="003A18E6">
        <w:rPr>
          <w:lang w:eastAsia="en-GB"/>
        </w:rPr>
        <w:t>d</w:t>
      </w:r>
      <w:r w:rsidR="003A18E6" w:rsidRPr="000F1882">
        <w:rPr>
          <w:lang w:eastAsia="en-GB"/>
        </w:rPr>
        <w:t xml:space="preserve">esignated </w:t>
      </w:r>
      <w:r w:rsidR="003A18E6">
        <w:rPr>
          <w:lang w:eastAsia="en-GB"/>
        </w:rPr>
        <w:t>o</w:t>
      </w:r>
      <w:r w:rsidR="003A18E6" w:rsidRPr="000F1882">
        <w:rPr>
          <w:lang w:eastAsia="en-GB"/>
        </w:rPr>
        <w:t xml:space="preserve">perational </w:t>
      </w:r>
      <w:r w:rsidR="003A18E6">
        <w:rPr>
          <w:lang w:eastAsia="en-GB"/>
        </w:rPr>
        <w:t>e</w:t>
      </w:r>
      <w:r w:rsidR="003A18E6" w:rsidRPr="000F1882">
        <w:rPr>
          <w:lang w:eastAsia="en-GB"/>
        </w:rPr>
        <w:t xml:space="preserve">ntity </w:t>
      </w:r>
      <w:r w:rsidR="009E3385" w:rsidRPr="000F1882">
        <w:rPr>
          <w:lang w:eastAsia="en-GB"/>
        </w:rPr>
        <w:t xml:space="preserve">(DOE) and/or </w:t>
      </w:r>
      <w:r w:rsidR="003A18E6">
        <w:rPr>
          <w:lang w:eastAsia="en-GB"/>
        </w:rPr>
        <w:t>a</w:t>
      </w:r>
      <w:r w:rsidR="003A18E6" w:rsidRPr="000F1882">
        <w:rPr>
          <w:lang w:eastAsia="en-GB"/>
        </w:rPr>
        <w:t xml:space="preserve">ccredited </w:t>
      </w:r>
      <w:r w:rsidR="003A18E6">
        <w:rPr>
          <w:lang w:eastAsia="en-GB"/>
        </w:rPr>
        <w:t>i</w:t>
      </w:r>
      <w:r w:rsidR="003A18E6" w:rsidRPr="000F1882">
        <w:rPr>
          <w:lang w:eastAsia="en-GB"/>
        </w:rPr>
        <w:t xml:space="preserve">ndependent </w:t>
      </w:r>
      <w:r w:rsidR="003A18E6">
        <w:rPr>
          <w:lang w:eastAsia="en-GB"/>
        </w:rPr>
        <w:t>e</w:t>
      </w:r>
      <w:r w:rsidR="003A18E6" w:rsidRPr="000F1882">
        <w:rPr>
          <w:lang w:eastAsia="en-GB"/>
        </w:rPr>
        <w:t xml:space="preserve">ntity </w:t>
      </w:r>
      <w:r w:rsidR="009E3385" w:rsidRPr="000F1882">
        <w:rPr>
          <w:lang w:eastAsia="en-GB"/>
        </w:rPr>
        <w:t xml:space="preserve">(AIE) under the Kyoto Protocol framework will have experience in verifying </w:t>
      </w:r>
      <w:r w:rsidR="007B5351">
        <w:rPr>
          <w:lang w:eastAsia="en-GB"/>
        </w:rPr>
        <w:t>GHG</w:t>
      </w:r>
      <w:r w:rsidR="009E3385" w:rsidRPr="000F1882">
        <w:rPr>
          <w:lang w:eastAsia="en-GB"/>
        </w:rPr>
        <w:t xml:space="preserve"> emission reductions on a project basis.</w:t>
      </w:r>
      <w:r w:rsidR="009E3385" w:rsidRPr="002537CD">
        <w:rPr>
          <w:rStyle w:val="FootnoteReference"/>
        </w:rPr>
        <w:footnoteReference w:id="5"/>
      </w:r>
      <w:r w:rsidR="009E3385" w:rsidRPr="000F1882">
        <w:rPr>
          <w:lang w:eastAsia="en-GB"/>
        </w:rPr>
        <w:t xml:space="preserve"> While verification of </w:t>
      </w:r>
      <w:r w:rsidR="007B5351">
        <w:rPr>
          <w:lang w:eastAsia="en-GB"/>
        </w:rPr>
        <w:t>GHG</w:t>
      </w:r>
      <w:r w:rsidR="009E3385" w:rsidRPr="000F1882">
        <w:rPr>
          <w:lang w:eastAsia="en-GB"/>
        </w:rPr>
        <w:t xml:space="preserve"> emission reductions from projects is a different task than verification of organisation-level </w:t>
      </w:r>
      <w:r w:rsidR="007B5351">
        <w:rPr>
          <w:lang w:eastAsia="en-GB"/>
        </w:rPr>
        <w:t xml:space="preserve">GHG </w:t>
      </w:r>
      <w:r w:rsidR="009E3385" w:rsidRPr="000F1882">
        <w:rPr>
          <w:lang w:eastAsia="en-GB"/>
        </w:rPr>
        <w:t>emissions inventories, there are many similarities</w:t>
      </w:r>
      <w:r w:rsidR="000203E4">
        <w:rPr>
          <w:lang w:eastAsia="en-GB"/>
        </w:rPr>
        <w:t>.</w:t>
      </w:r>
      <w:r w:rsidR="009E3385" w:rsidRPr="000F1882">
        <w:rPr>
          <w:lang w:eastAsia="en-GB"/>
        </w:rPr>
        <w:t xml:space="preserve"> </w:t>
      </w:r>
      <w:r w:rsidR="000203E4">
        <w:rPr>
          <w:lang w:eastAsia="en-GB"/>
        </w:rPr>
        <w:t>P</w:t>
      </w:r>
      <w:r w:rsidR="009E3385" w:rsidRPr="000F1882">
        <w:rPr>
          <w:lang w:eastAsia="en-GB"/>
        </w:rPr>
        <w:t>roviders who have achieved DOE or AIE status will have many of the competencies required to verify emissions inventories.</w:t>
      </w:r>
    </w:p>
    <w:p w:rsidR="009E3385" w:rsidRPr="000F1882" w:rsidRDefault="009E3385" w:rsidP="002537CD"/>
    <w:p w:rsidR="00EC1311" w:rsidRDefault="009E3385" w:rsidP="00ED6C80">
      <w:pPr>
        <w:pStyle w:val="Box"/>
        <w:spacing w:before="0"/>
        <w:jc w:val="left"/>
      </w:pPr>
      <w:r w:rsidRPr="000F1882">
        <w:t xml:space="preserve">Verification should be undertaken by independent organisations who can demonstrate they have experience with emissions inventories, </w:t>
      </w:r>
      <w:r w:rsidRPr="000F1882">
        <w:rPr>
          <w:i/>
        </w:rPr>
        <w:t>ISO 14064</w:t>
      </w:r>
      <w:r w:rsidR="00316E94">
        <w:rPr>
          <w:i/>
        </w:rPr>
        <w:t xml:space="preserve"> - 1</w:t>
      </w:r>
      <w:r w:rsidRPr="000F1882">
        <w:t xml:space="preserve"> and </w:t>
      </w:r>
      <w:r w:rsidRPr="000F1882">
        <w:rPr>
          <w:i/>
        </w:rPr>
        <w:t>The GHG Protocol</w:t>
      </w:r>
      <w:r w:rsidRPr="000F1882">
        <w:t>.</w:t>
      </w:r>
    </w:p>
    <w:p w:rsidR="009E3385" w:rsidRPr="000F1882" w:rsidRDefault="009E3385" w:rsidP="002537CD"/>
    <w:p w:rsidR="009E3385" w:rsidRPr="000F1882" w:rsidRDefault="009E3385" w:rsidP="002537CD">
      <w:pPr>
        <w:pStyle w:val="Heading1"/>
        <w:rPr>
          <w:rFonts w:cs="Arial"/>
        </w:rPr>
      </w:pPr>
      <w:r w:rsidRPr="000F1882">
        <w:br w:type="page"/>
      </w:r>
      <w:bookmarkStart w:id="62" w:name="_Toc210026920"/>
      <w:bookmarkStart w:id="63" w:name="_Toc289083956"/>
      <w:bookmarkStart w:id="64" w:name="_Toc469577166"/>
      <w:r w:rsidRPr="000F1882">
        <w:lastRenderedPageBreak/>
        <w:t>2</w:t>
      </w:r>
      <w:r w:rsidRPr="000F1882">
        <w:tab/>
        <w:t>Emission factors and methods – context</w:t>
      </w:r>
      <w:bookmarkEnd w:id="62"/>
      <w:bookmarkEnd w:id="63"/>
      <w:bookmarkEnd w:id="64"/>
    </w:p>
    <w:p w:rsidR="009E3385" w:rsidRPr="000F1882" w:rsidRDefault="009E3385" w:rsidP="00814036">
      <w:pPr>
        <w:jc w:val="left"/>
      </w:pPr>
      <w:r w:rsidRPr="000F1882">
        <w:t>The emission factors reported in this guide are intended to be default factors (</w:t>
      </w:r>
      <w:proofErr w:type="spellStart"/>
      <w:r w:rsidRPr="000F1882">
        <w:t>ie</w:t>
      </w:r>
      <w:proofErr w:type="spellEnd"/>
      <w:r w:rsidRPr="000F1882">
        <w:t xml:space="preserve">, to be used in the absence of better </w:t>
      </w:r>
      <w:r w:rsidR="00644370">
        <w:t>company or industry</w:t>
      </w:r>
      <w:r w:rsidR="00F66077">
        <w:t>-</w:t>
      </w:r>
      <w:r w:rsidR="00644370">
        <w:t xml:space="preserve">specific </w:t>
      </w:r>
      <w:r w:rsidRPr="000F1882">
        <w:t xml:space="preserve">information). They are designed to be consistent with the reporting requirements of </w:t>
      </w:r>
      <w:r w:rsidRPr="000F1882">
        <w:rPr>
          <w:i/>
        </w:rPr>
        <w:t>ISO 14064-1</w:t>
      </w:r>
      <w:r w:rsidRPr="000F1882">
        <w:t xml:space="preserve"> and </w:t>
      </w:r>
      <w:r w:rsidRPr="000F1882">
        <w:rPr>
          <w:i/>
        </w:rPr>
        <w:t>The GHG Protocol</w:t>
      </w:r>
      <w:r w:rsidRPr="000F1882">
        <w:t>. The emission factors are also designed to be aligned with the emission factors used for the Ministry</w:t>
      </w:r>
      <w:r w:rsidR="00EC1311">
        <w:t>’</w:t>
      </w:r>
      <w:r w:rsidRPr="000F1882">
        <w:t xml:space="preserve">s national </w:t>
      </w:r>
      <w:r w:rsidR="007B5351">
        <w:t>GHG</w:t>
      </w:r>
      <w:r w:rsidRPr="000F1882">
        <w:t xml:space="preserve"> inventory reporting.</w:t>
      </w:r>
    </w:p>
    <w:p w:rsidR="009E3385" w:rsidRPr="000F1882" w:rsidRDefault="009E3385" w:rsidP="00814036">
      <w:pPr>
        <w:jc w:val="left"/>
      </w:pPr>
    </w:p>
    <w:p w:rsidR="009E3385" w:rsidRPr="000F1882" w:rsidRDefault="009E3385" w:rsidP="00814036">
      <w:pPr>
        <w:jc w:val="left"/>
      </w:pPr>
      <w:r w:rsidRPr="000F1882">
        <w:t>The purpose of providing these emission factors is to:</w:t>
      </w:r>
    </w:p>
    <w:p w:rsidR="009E3385" w:rsidRPr="000F1882" w:rsidRDefault="009E3385" w:rsidP="00814036">
      <w:pPr>
        <w:pStyle w:val="Bullet"/>
        <w:jc w:val="left"/>
      </w:pPr>
      <w:r w:rsidRPr="000F1882">
        <w:t>collate an official set of annually updated emission factors for voluntary corporate reporting</w:t>
      </w:r>
    </w:p>
    <w:p w:rsidR="00EC1311" w:rsidRDefault="009E3385" w:rsidP="00814036">
      <w:pPr>
        <w:pStyle w:val="Bullet"/>
        <w:jc w:val="left"/>
      </w:pPr>
      <w:r w:rsidRPr="000F1882">
        <w:t>present emission factors in an easy</w:t>
      </w:r>
      <w:r w:rsidR="00F66077">
        <w:t>-</w:t>
      </w:r>
      <w:r w:rsidRPr="000F1882">
        <w:t>to</w:t>
      </w:r>
      <w:r w:rsidR="00F66077">
        <w:t>-</w:t>
      </w:r>
      <w:r w:rsidRPr="000F1882">
        <w:t>use form which will facilitate reporting by organisations</w:t>
      </w:r>
    </w:p>
    <w:p w:rsidR="009E3385" w:rsidRPr="000F1882" w:rsidRDefault="009E3385" w:rsidP="00814036">
      <w:pPr>
        <w:pStyle w:val="Bullet"/>
        <w:jc w:val="left"/>
      </w:pPr>
      <w:r w:rsidRPr="000F1882">
        <w:t>provide guidance on a consistent approach to choosing emission factors for financial-year and calendar-year reporting.</w:t>
      </w:r>
    </w:p>
    <w:p w:rsidR="009E3385" w:rsidRPr="000F1882" w:rsidRDefault="009E3385" w:rsidP="00814036">
      <w:pPr>
        <w:jc w:val="left"/>
      </w:pPr>
    </w:p>
    <w:p w:rsidR="00EC1311" w:rsidRDefault="00B20150" w:rsidP="00814036">
      <w:pPr>
        <w:jc w:val="left"/>
      </w:pPr>
      <w:r>
        <w:t>T</w:t>
      </w:r>
      <w:r w:rsidR="009E3385" w:rsidRPr="000F1882">
        <w:t xml:space="preserve">hese emission factors are largely derived from technical information published by New Zealand government agencies. </w:t>
      </w:r>
      <w:r w:rsidR="007C53AE">
        <w:t xml:space="preserve">For example, </w:t>
      </w:r>
      <w:r w:rsidR="00177949">
        <w:t xml:space="preserve">the Ministry of Business, Innovation and Employment </w:t>
      </w:r>
      <w:r>
        <w:t>is the main</w:t>
      </w:r>
      <w:r w:rsidR="009E3385" w:rsidRPr="000F1882">
        <w:t xml:space="preserve"> source of information </w:t>
      </w:r>
      <w:r w:rsidR="007C53AE">
        <w:t>for the stationary combustion and electricity emission factors</w:t>
      </w:r>
      <w:r w:rsidR="009E3385" w:rsidRPr="000F1882">
        <w:t>.</w:t>
      </w:r>
      <w:r w:rsidR="00EC1311">
        <w:t xml:space="preserve"> </w:t>
      </w:r>
      <w:r w:rsidR="009E3385" w:rsidRPr="000F1882">
        <w:t xml:space="preserve">Each section </w:t>
      </w:r>
      <w:r w:rsidR="00A031C6">
        <w:t>provides</w:t>
      </w:r>
      <w:r w:rsidR="009E3385" w:rsidRPr="000F1882">
        <w:t xml:space="preserve"> </w:t>
      </w:r>
      <w:r w:rsidR="00A031C6">
        <w:t>the</w:t>
      </w:r>
      <w:r w:rsidR="00A031C6" w:rsidRPr="000F1882">
        <w:t xml:space="preserve"> </w:t>
      </w:r>
      <w:r w:rsidR="009E3385" w:rsidRPr="000F1882">
        <w:t>source for each emission factor and how the factors are derived.</w:t>
      </w:r>
    </w:p>
    <w:p w:rsidR="009E3385" w:rsidRPr="000F1882" w:rsidRDefault="009E3385" w:rsidP="00814036">
      <w:pPr>
        <w:jc w:val="left"/>
      </w:pPr>
    </w:p>
    <w:p w:rsidR="009E3385" w:rsidRPr="000F1882" w:rsidRDefault="009E3385" w:rsidP="00814036">
      <w:pPr>
        <w:jc w:val="left"/>
      </w:pPr>
      <w:r w:rsidRPr="000F1882">
        <w:t>This guidance covers the six direct Kyoto gases (CO</w:t>
      </w:r>
      <w:r w:rsidRPr="000F1882">
        <w:rPr>
          <w:vertAlign w:val="subscript"/>
        </w:rPr>
        <w:t>2</w:t>
      </w:r>
      <w:r w:rsidRPr="000F1882">
        <w:t>, CH</w:t>
      </w:r>
      <w:r w:rsidRPr="000F1882">
        <w:rPr>
          <w:vertAlign w:val="subscript"/>
        </w:rPr>
        <w:t>4</w:t>
      </w:r>
      <w:r w:rsidRPr="000F1882">
        <w:t xml:space="preserve">, </w:t>
      </w:r>
      <w:r w:rsidRPr="000F1882">
        <w:rPr>
          <w:szCs w:val="22"/>
        </w:rPr>
        <w:t>N</w:t>
      </w:r>
      <w:r w:rsidRPr="000F1882">
        <w:rPr>
          <w:vertAlign w:val="subscript"/>
        </w:rPr>
        <w:t>2</w:t>
      </w:r>
      <w:r w:rsidRPr="000F1882">
        <w:rPr>
          <w:szCs w:val="22"/>
        </w:rPr>
        <w:t>O</w:t>
      </w:r>
      <w:r w:rsidRPr="000F1882">
        <w:t>, HFCs, PFCs and SF</w:t>
      </w:r>
      <w:r w:rsidRPr="000F1882">
        <w:rPr>
          <w:vertAlign w:val="subscript"/>
        </w:rPr>
        <w:t>6</w:t>
      </w:r>
      <w:r w:rsidRPr="000F1882">
        <w:t xml:space="preserve">) covered by </w:t>
      </w:r>
      <w:r w:rsidRPr="000F1882">
        <w:rPr>
          <w:i/>
        </w:rPr>
        <w:t xml:space="preserve">ISO 14064-1 </w:t>
      </w:r>
      <w:r w:rsidRPr="000F1882">
        <w:t xml:space="preserve">and </w:t>
      </w:r>
      <w:r w:rsidRPr="000F1882">
        <w:rPr>
          <w:i/>
        </w:rPr>
        <w:t>The GHG Protocol.</w:t>
      </w:r>
      <w:r w:rsidRPr="000F1882">
        <w:t xml:space="preserve"> This is also consistent with the reporting requirements for </w:t>
      </w:r>
      <w:r w:rsidRPr="004A4B10">
        <w:t>New Zealand</w:t>
      </w:r>
      <w:r w:rsidR="00EC1311">
        <w:t>’</w:t>
      </w:r>
      <w:r w:rsidRPr="004A4B10">
        <w:t xml:space="preserve">s </w:t>
      </w:r>
      <w:r w:rsidR="00F66077">
        <w:t>n</w:t>
      </w:r>
      <w:r w:rsidRPr="004A4B10">
        <w:t xml:space="preserve">ational </w:t>
      </w:r>
      <w:r w:rsidR="007B5351">
        <w:t xml:space="preserve">GHG </w:t>
      </w:r>
      <w:r w:rsidR="00F66077">
        <w:t>i</w:t>
      </w:r>
      <w:r w:rsidRPr="004A4B10">
        <w:t>nventory.</w:t>
      </w:r>
    </w:p>
    <w:p w:rsidR="009E3385" w:rsidRPr="000F1882" w:rsidRDefault="009E3385" w:rsidP="00814036">
      <w:pPr>
        <w:jc w:val="left"/>
      </w:pPr>
    </w:p>
    <w:p w:rsidR="00EC1311" w:rsidRDefault="009E3385" w:rsidP="00814036">
      <w:pPr>
        <w:jc w:val="left"/>
      </w:pPr>
      <w:r w:rsidRPr="000F1882">
        <w:t>Greenhouse gases (GHGs) vary in their radiative activity and atmospheric residence time. This means that different GHGs have different global warming potentials (GWPs). To enable a meaningful comparison between gases, GHG emissions are commonly expressed as carbon dioxide equivalent or CO</w:t>
      </w:r>
      <w:r w:rsidRPr="000F1882">
        <w:rPr>
          <w:vertAlign w:val="subscript"/>
        </w:rPr>
        <w:t>2</w:t>
      </w:r>
      <w:r w:rsidRPr="000F1882">
        <w:t>-e. The emission factors in this guide therefore convert activity data into the equivalent estimate of CO</w:t>
      </w:r>
      <w:r w:rsidRPr="000F1882">
        <w:rPr>
          <w:vertAlign w:val="subscript"/>
        </w:rPr>
        <w:t>2</w:t>
      </w:r>
      <w:r w:rsidRPr="000F1882">
        <w:t>-e per unit of activity data (</w:t>
      </w:r>
      <w:proofErr w:type="spellStart"/>
      <w:r w:rsidRPr="000F1882">
        <w:t>eg</w:t>
      </w:r>
      <w:proofErr w:type="spellEnd"/>
      <w:r w:rsidRPr="000F1882">
        <w:t>, kg CO</w:t>
      </w:r>
      <w:r w:rsidRPr="000F1882">
        <w:rPr>
          <w:szCs w:val="22"/>
          <w:vertAlign w:val="subscript"/>
        </w:rPr>
        <w:t>2</w:t>
      </w:r>
      <w:r w:rsidRPr="000F1882">
        <w:t>-e/litre of petrol).</w:t>
      </w:r>
    </w:p>
    <w:p w:rsidR="009E3385" w:rsidRPr="000F1882" w:rsidRDefault="009E3385" w:rsidP="00814036">
      <w:pPr>
        <w:jc w:val="left"/>
      </w:pPr>
    </w:p>
    <w:p w:rsidR="004A4ADF" w:rsidRDefault="009E3385" w:rsidP="00814036">
      <w:pPr>
        <w:jc w:val="left"/>
      </w:pPr>
      <w:r w:rsidRPr="000F1882">
        <w:t xml:space="preserve">Under the reporting requirements of </w:t>
      </w:r>
      <w:r w:rsidRPr="000F1882">
        <w:rPr>
          <w:i/>
        </w:rPr>
        <w:t>ISO 14064-1</w:t>
      </w:r>
      <w:r w:rsidRPr="000F1882">
        <w:t xml:space="preserve"> and </w:t>
      </w:r>
      <w:r w:rsidRPr="000F1882">
        <w:rPr>
          <w:i/>
        </w:rPr>
        <w:t>The GHG Protocol,</w:t>
      </w:r>
      <w:r w:rsidRPr="000F1882">
        <w:t xml:space="preserve"> GHG emissions should be reported in tonnes CO</w:t>
      </w:r>
      <w:r w:rsidRPr="000F1882">
        <w:rPr>
          <w:vertAlign w:val="subscript"/>
        </w:rPr>
        <w:t>2</w:t>
      </w:r>
      <w:r w:rsidRPr="000F1882">
        <w:t xml:space="preserve">-e. </w:t>
      </w:r>
      <w:r w:rsidR="00C4310F">
        <w:t>However</w:t>
      </w:r>
      <w:r w:rsidR="008952B8">
        <w:t>,</w:t>
      </w:r>
      <w:r w:rsidR="00C4310F">
        <w:t xml:space="preserve"> many emission factors are too small to be reported meaningfully in tonnes, therefore</w:t>
      </w:r>
      <w:r w:rsidRPr="000F1882">
        <w:t xml:space="preserve"> guidance presents emission factors in kg CO</w:t>
      </w:r>
      <w:r w:rsidRPr="000F1882">
        <w:rPr>
          <w:vertAlign w:val="subscript"/>
        </w:rPr>
        <w:t>2</w:t>
      </w:r>
      <w:r w:rsidRPr="000F1882">
        <w:t>-e per unit. Division by 1000 converts kg to tonnes (see example calculations on the following pages).</w:t>
      </w:r>
      <w:r>
        <w:t xml:space="preserve"> </w:t>
      </w:r>
    </w:p>
    <w:p w:rsidR="00B17D46" w:rsidRDefault="00B17D46" w:rsidP="00814036">
      <w:pPr>
        <w:jc w:val="left"/>
      </w:pPr>
    </w:p>
    <w:p w:rsidR="00B17D46" w:rsidRPr="007D0465" w:rsidRDefault="00B17D46" w:rsidP="00814036">
      <w:pPr>
        <w:jc w:val="left"/>
      </w:pPr>
      <w:r w:rsidRPr="007D0465">
        <w:t>The emission factors contained in the main body of this guidance have been calculated using GWPs sourced from the IPCC’s Fourth Assessment Report (IPCC AR4), published in 2007. This is to achieve consistency of the data with New Zeal</w:t>
      </w:r>
      <w:r w:rsidR="00256C24">
        <w:t>and’s Greenhouse Gas Inventory </w:t>
      </w:r>
      <w:r w:rsidR="003A0C59">
        <w:t xml:space="preserve">1990 – 2014 that follows </w:t>
      </w:r>
      <w:r w:rsidRPr="007D0465">
        <w:t>the UNFCCC reporting guidelines for international climate change reporting, which are mandatory for the Annex I Parties.</w:t>
      </w:r>
    </w:p>
    <w:p w:rsidR="00B17D46" w:rsidRPr="000F1882" w:rsidRDefault="00B17D46" w:rsidP="002537CD"/>
    <w:p w:rsidR="00EC1311" w:rsidRDefault="009E3385" w:rsidP="00BE0D86">
      <w:pPr>
        <w:jc w:val="left"/>
      </w:pPr>
      <w:r w:rsidRPr="000F1882">
        <w:t xml:space="preserve">In line with the reporting requirements of </w:t>
      </w:r>
      <w:r w:rsidRPr="000E4C53">
        <w:rPr>
          <w:i/>
        </w:rPr>
        <w:t>ISO 14064-1</w:t>
      </w:r>
      <w:r w:rsidRPr="000F1882">
        <w:t>, the emission factors allow calculation of CO</w:t>
      </w:r>
      <w:r w:rsidRPr="000F1882">
        <w:rPr>
          <w:vertAlign w:val="subscript"/>
        </w:rPr>
        <w:t>2</w:t>
      </w:r>
      <w:r w:rsidRPr="000F1882">
        <w:t>, CH</w:t>
      </w:r>
      <w:r w:rsidRPr="000F1882">
        <w:rPr>
          <w:vertAlign w:val="subscript"/>
        </w:rPr>
        <w:t>4</w:t>
      </w:r>
      <w:r w:rsidRPr="000F1882">
        <w:t xml:space="preserve"> and N</w:t>
      </w:r>
      <w:r w:rsidRPr="000F1882">
        <w:rPr>
          <w:vertAlign w:val="subscript"/>
        </w:rPr>
        <w:t>2</w:t>
      </w:r>
      <w:r w:rsidRPr="000F1882">
        <w:t>O separately, as well as the total CO</w:t>
      </w:r>
      <w:r w:rsidRPr="000F1882">
        <w:rPr>
          <w:vertAlign w:val="subscript"/>
        </w:rPr>
        <w:t>2</w:t>
      </w:r>
      <w:r>
        <w:t xml:space="preserve"> </w:t>
      </w:r>
      <w:r w:rsidRPr="000F1882">
        <w:t>equivalent for Scope 1 emission sources (discussed in Section 2.2).</w:t>
      </w:r>
    </w:p>
    <w:p w:rsidR="009E3385" w:rsidRPr="000F1882" w:rsidRDefault="009E3385" w:rsidP="00BE0D86">
      <w:pPr>
        <w:jc w:val="left"/>
      </w:pPr>
    </w:p>
    <w:p w:rsidR="00EC1311" w:rsidRDefault="00C4310F" w:rsidP="00BE0D86">
      <w:pPr>
        <w:jc w:val="left"/>
      </w:pPr>
      <w:r>
        <w:lastRenderedPageBreak/>
        <w:t xml:space="preserve">Carbon dioxide </w:t>
      </w:r>
      <w:r w:rsidR="009E3385" w:rsidRPr="000F1882">
        <w:t>emission factors are based on the carbon and energy content of a fuel</w:t>
      </w:r>
      <w:r w:rsidR="004E7B2E">
        <w:t xml:space="preserve"> therefore</w:t>
      </w:r>
      <w:r w:rsidR="009E3385" w:rsidRPr="000F1882">
        <w:t xml:space="preserve"> </w:t>
      </w:r>
      <w:r w:rsidR="004E7B2E">
        <w:t>t</w:t>
      </w:r>
      <w:r w:rsidR="008605FC">
        <w:t xml:space="preserve">he </w:t>
      </w:r>
      <w:r w:rsidR="009E3385" w:rsidRPr="000F1882">
        <w:t>CO</w:t>
      </w:r>
      <w:r w:rsidR="009E3385" w:rsidRPr="000F1882">
        <w:rPr>
          <w:vertAlign w:val="subscript"/>
        </w:rPr>
        <w:t>2</w:t>
      </w:r>
      <w:r w:rsidR="009E3385" w:rsidRPr="000F1882">
        <w:t xml:space="preserve"> emissions remain constant regardless of the way in which a fuel is combusted. However, CH</w:t>
      </w:r>
      <w:r w:rsidR="009E3385" w:rsidRPr="000F1882">
        <w:rPr>
          <w:vertAlign w:val="subscript"/>
        </w:rPr>
        <w:t>4</w:t>
      </w:r>
      <w:r w:rsidR="009E3385" w:rsidRPr="000F1882">
        <w:t xml:space="preserve"> and N</w:t>
      </w:r>
      <w:r w:rsidR="009E3385" w:rsidRPr="000F1882">
        <w:rPr>
          <w:vertAlign w:val="subscript"/>
        </w:rPr>
        <w:t>2</w:t>
      </w:r>
      <w:r w:rsidR="009E3385" w:rsidRPr="000F1882">
        <w:t>O (</w:t>
      </w:r>
      <w:proofErr w:type="spellStart"/>
      <w:r w:rsidR="009E3385" w:rsidRPr="000F1882">
        <w:t>ie</w:t>
      </w:r>
      <w:proofErr w:type="spellEnd"/>
      <w:r w:rsidR="009E3385" w:rsidRPr="000F1882">
        <w:t>, non-CO</w:t>
      </w:r>
      <w:r w:rsidR="009E3385" w:rsidRPr="000F1882">
        <w:rPr>
          <w:vertAlign w:val="subscript"/>
        </w:rPr>
        <w:t>2</w:t>
      </w:r>
      <w:r w:rsidR="009E3385" w:rsidRPr="000F1882">
        <w:t>) emissions depend on the manner in which the fuel is being combusted. The emission factors for CH</w:t>
      </w:r>
      <w:r w:rsidR="009E3385" w:rsidRPr="000F1882">
        <w:rPr>
          <w:vertAlign w:val="subscript"/>
        </w:rPr>
        <w:t>4</w:t>
      </w:r>
      <w:r w:rsidR="009E3385" w:rsidRPr="002537CD">
        <w:t xml:space="preserve"> </w:t>
      </w:r>
      <w:r w:rsidR="009E3385" w:rsidRPr="000F1882">
        <w:t>and N</w:t>
      </w:r>
      <w:r w:rsidR="009E3385" w:rsidRPr="000F1882">
        <w:rPr>
          <w:vertAlign w:val="subscript"/>
        </w:rPr>
        <w:t>2</w:t>
      </w:r>
      <w:r w:rsidR="009E3385" w:rsidRPr="000F1882">
        <w:t>O therefore vary depending on the combustion process.</w:t>
      </w:r>
      <w:r w:rsidR="009E3385" w:rsidRPr="002537CD">
        <w:rPr>
          <w:rStyle w:val="FootnoteReference"/>
        </w:rPr>
        <w:footnoteReference w:id="6"/>
      </w:r>
      <w:r w:rsidR="009E3385" w:rsidRPr="000F1882">
        <w:t xml:space="preserve"> </w:t>
      </w:r>
      <w:r w:rsidR="008605FC">
        <w:t>To reflect this variability</w:t>
      </w:r>
      <w:r w:rsidR="008952B8">
        <w:t>,</w:t>
      </w:r>
      <w:r w:rsidR="008605FC">
        <w:t xml:space="preserve"> the guidance pro</w:t>
      </w:r>
      <w:r w:rsidR="00B13269">
        <w:t xml:space="preserve">vides uncertainty estimates for </w:t>
      </w:r>
      <w:r w:rsidR="003B309A">
        <w:t>S</w:t>
      </w:r>
      <w:r w:rsidR="00B13269">
        <w:t>cope 1 emission factors</w:t>
      </w:r>
      <w:r w:rsidR="008605FC">
        <w:t xml:space="preserve">. </w:t>
      </w:r>
      <w:r w:rsidR="009E3385" w:rsidRPr="000F1882">
        <w:t>Separate CO</w:t>
      </w:r>
      <w:r w:rsidR="009E3385" w:rsidRPr="000F1882">
        <w:rPr>
          <w:vertAlign w:val="subscript"/>
        </w:rPr>
        <w:t>2</w:t>
      </w:r>
      <w:r w:rsidR="009E3385" w:rsidRPr="000F1882">
        <w:t xml:space="preserve">-e emission factors for </w:t>
      </w:r>
      <w:r w:rsidR="006C2478">
        <w:t xml:space="preserve">residential, </w:t>
      </w:r>
      <w:r w:rsidR="009E3385" w:rsidRPr="000F1882">
        <w:t xml:space="preserve">commercial and industrial users are presented in </w:t>
      </w:r>
      <w:r w:rsidR="008952B8">
        <w:t>t</w:t>
      </w:r>
      <w:r w:rsidR="006C2478">
        <w:t>able 1</w:t>
      </w:r>
      <w:r w:rsidR="009E3385" w:rsidRPr="000F1882">
        <w:t xml:space="preserve">. The relevant </w:t>
      </w:r>
      <w:r w:rsidR="003B309A">
        <w:t>Ministry of Business, Innovation and Employment</w:t>
      </w:r>
      <w:r w:rsidR="009E3385" w:rsidRPr="000F1882">
        <w:t xml:space="preserve"> publication describes assumptions made.</w:t>
      </w:r>
    </w:p>
    <w:p w:rsidR="009E3385" w:rsidRPr="000F1882" w:rsidRDefault="009E3385" w:rsidP="00BE0D86">
      <w:pPr>
        <w:jc w:val="left"/>
      </w:pPr>
    </w:p>
    <w:p w:rsidR="00EC1311" w:rsidRDefault="009E3385" w:rsidP="00BE0D86">
      <w:pPr>
        <w:jc w:val="left"/>
      </w:pPr>
      <w:r w:rsidRPr="00BC2FA6">
        <w:t xml:space="preserve">As well as providing common emission factors, the Ministry considers it useful to illustrate how these emission factors have been derived. Appendix </w:t>
      </w:r>
      <w:r w:rsidR="00661FCC">
        <w:t>A</w:t>
      </w:r>
      <w:r w:rsidR="000B723C" w:rsidRPr="00BC2FA6">
        <w:t xml:space="preserve"> </w:t>
      </w:r>
      <w:r w:rsidRPr="00BC2FA6">
        <w:t>discusses and provides an example of how the emission factors have been calculated.</w:t>
      </w:r>
      <w:r w:rsidR="00A70222">
        <w:t xml:space="preserve"> The accompanying </w:t>
      </w:r>
      <w:r w:rsidR="00AC20DF">
        <w:t>Microsoft</w:t>
      </w:r>
      <w:r w:rsidR="00A70222">
        <w:t xml:space="preserve"> Excel workbook also provides further details on how the emission factors were calculated.</w:t>
      </w:r>
    </w:p>
    <w:p w:rsidR="00416196" w:rsidRPr="00416196" w:rsidRDefault="00416196" w:rsidP="002537CD"/>
    <w:p w:rsidR="009E3385" w:rsidRPr="000F1882" w:rsidRDefault="009E3385" w:rsidP="002537CD">
      <w:pPr>
        <w:pStyle w:val="Heading2"/>
      </w:pPr>
      <w:bookmarkStart w:id="65" w:name="_Toc185407817"/>
      <w:bookmarkStart w:id="66" w:name="_Toc209932984"/>
      <w:bookmarkStart w:id="67" w:name="_Toc210026921"/>
      <w:bookmarkStart w:id="68" w:name="_Toc289083957"/>
      <w:bookmarkStart w:id="69" w:name="_Toc469577167"/>
      <w:r w:rsidRPr="000F1882">
        <w:t>2.1</w:t>
      </w:r>
      <w:r w:rsidRPr="000F1882">
        <w:tab/>
        <w:t>Timing of emission factors and annual reporting</w:t>
      </w:r>
      <w:bookmarkEnd w:id="65"/>
      <w:bookmarkEnd w:id="66"/>
      <w:bookmarkEnd w:id="67"/>
      <w:bookmarkEnd w:id="68"/>
      <w:bookmarkEnd w:id="69"/>
    </w:p>
    <w:p w:rsidR="00E17D55" w:rsidRDefault="00E17D55" w:rsidP="002537CD"/>
    <w:p w:rsidR="005D6BD1" w:rsidRPr="000F1882" w:rsidRDefault="005D6BD1" w:rsidP="00BE0D86">
      <w:pPr>
        <w:jc w:val="left"/>
      </w:pPr>
      <w:r w:rsidRPr="000F1882">
        <w:t>Many emission factors will rely on a review of histor</w:t>
      </w:r>
      <w:r w:rsidR="004F1F0A">
        <w:t>ical data</w:t>
      </w:r>
      <w:r w:rsidRPr="000F1882">
        <w:t xml:space="preserve">. The </w:t>
      </w:r>
      <w:r>
        <w:t>2014</w:t>
      </w:r>
      <w:r w:rsidRPr="000F1882">
        <w:t xml:space="preserve"> calendar year</w:t>
      </w:r>
      <w:r>
        <w:t>’</w:t>
      </w:r>
      <w:r w:rsidRPr="000F1882">
        <w:t xml:space="preserve">s emission factors </w:t>
      </w:r>
      <w:r>
        <w:t>are used</w:t>
      </w:r>
      <w:r w:rsidRPr="000F1882">
        <w:t xml:space="preserve"> in this guide, following the release of the </w:t>
      </w:r>
      <w:r w:rsidRPr="000F1882">
        <w:rPr>
          <w:i/>
        </w:rPr>
        <w:t xml:space="preserve">Energy Greenhouse Gas Emissions, </w:t>
      </w:r>
      <w:r>
        <w:rPr>
          <w:i/>
        </w:rPr>
        <w:t>Energy in New Zealand</w:t>
      </w:r>
      <w:r w:rsidRPr="000F1882">
        <w:t xml:space="preserve"> and </w:t>
      </w:r>
      <w:r w:rsidRPr="000F1882">
        <w:rPr>
          <w:i/>
        </w:rPr>
        <w:t>New Zealand</w:t>
      </w:r>
      <w:r>
        <w:rPr>
          <w:i/>
        </w:rPr>
        <w:t>’</w:t>
      </w:r>
      <w:r w:rsidRPr="000F1882">
        <w:rPr>
          <w:i/>
        </w:rPr>
        <w:t xml:space="preserve">s Greenhouse Gas Inventory </w:t>
      </w:r>
      <w:r w:rsidRPr="000F1882">
        <w:t>publications.</w:t>
      </w:r>
    </w:p>
    <w:p w:rsidR="005D6BD1" w:rsidRDefault="005D6BD1" w:rsidP="00BE0D86">
      <w:pPr>
        <w:jc w:val="left"/>
      </w:pPr>
    </w:p>
    <w:p w:rsidR="009E3385" w:rsidRPr="000F1882" w:rsidRDefault="009E3385" w:rsidP="00BE0D86">
      <w:pPr>
        <w:jc w:val="left"/>
      </w:pPr>
      <w:r w:rsidRPr="000F1882">
        <w:t>Organisations can choose to report on a calendar</w:t>
      </w:r>
      <w:r w:rsidR="00140F30">
        <w:t>-</w:t>
      </w:r>
      <w:r w:rsidRPr="000F1882">
        <w:t xml:space="preserve"> or financial</w:t>
      </w:r>
      <w:r w:rsidR="008952B8">
        <w:t>-</w:t>
      </w:r>
      <w:r w:rsidRPr="000F1882">
        <w:t>year basis.</w:t>
      </w:r>
    </w:p>
    <w:p w:rsidR="009E3385" w:rsidRPr="000F1882" w:rsidRDefault="009E3385" w:rsidP="00BE0D86">
      <w:pPr>
        <w:jc w:val="left"/>
      </w:pPr>
    </w:p>
    <w:p w:rsidR="009E3385" w:rsidRDefault="009E3385" w:rsidP="00BE0D86">
      <w:pPr>
        <w:jc w:val="left"/>
      </w:pPr>
      <w:r w:rsidRPr="000F1882">
        <w:rPr>
          <w:b/>
        </w:rPr>
        <w:t>Calendar year:</w:t>
      </w:r>
      <w:r w:rsidRPr="000F1882">
        <w:t xml:space="preserve"> If you are reporting on a calendar</w:t>
      </w:r>
      <w:r w:rsidR="008952B8">
        <w:t>-</w:t>
      </w:r>
      <w:r w:rsidRPr="000F1882">
        <w:t>year basis, then the latest published emission factors should be used</w:t>
      </w:r>
      <w:r w:rsidR="009571FD">
        <w:t>. For example if you are reporting emissions for the 2016 calendar year then you should use the 2016 guidance.</w:t>
      </w:r>
    </w:p>
    <w:p w:rsidR="004A1FC0" w:rsidRPr="000F1882" w:rsidRDefault="004A1FC0" w:rsidP="00BE0D86">
      <w:pPr>
        <w:jc w:val="left"/>
      </w:pPr>
    </w:p>
    <w:p w:rsidR="009E3385" w:rsidRDefault="009E3385" w:rsidP="00BE0D86">
      <w:pPr>
        <w:jc w:val="left"/>
      </w:pPr>
      <w:r w:rsidRPr="000F1882">
        <w:rPr>
          <w:b/>
        </w:rPr>
        <w:t>Financial year:</w:t>
      </w:r>
      <w:r w:rsidRPr="000F1882">
        <w:t xml:space="preserve"> If you are reporting on a financial</w:t>
      </w:r>
      <w:r w:rsidR="008952B8">
        <w:t>-</w:t>
      </w:r>
      <w:r w:rsidRPr="000F1882">
        <w:t>year basis</w:t>
      </w:r>
      <w:r w:rsidR="00140F30">
        <w:t>,</w:t>
      </w:r>
      <w:r w:rsidRPr="000F1882">
        <w:t xml:space="preserve"> then you </w:t>
      </w:r>
      <w:r w:rsidR="006E0034">
        <w:t xml:space="preserve">should use the guidance which the greatest portion of your data falls in. For example </w:t>
      </w:r>
      <w:r w:rsidR="000446E4">
        <w:t>if you are reporting for the 2016/2017 financial year you should use the 2016 guidance.</w:t>
      </w:r>
    </w:p>
    <w:p w:rsidR="00994D80" w:rsidRPr="000F1882" w:rsidRDefault="00994D80" w:rsidP="002537CD"/>
    <w:p w:rsidR="009E3385" w:rsidRPr="000F1882" w:rsidRDefault="009E3385" w:rsidP="002537CD">
      <w:pPr>
        <w:pStyle w:val="Heading2"/>
      </w:pPr>
      <w:bookmarkStart w:id="70" w:name="_Toc185407818"/>
      <w:bookmarkStart w:id="71" w:name="_Toc209932985"/>
      <w:bookmarkStart w:id="72" w:name="_Toc210026922"/>
      <w:bookmarkStart w:id="73" w:name="_Toc289083958"/>
      <w:bookmarkStart w:id="74" w:name="_Toc469577168"/>
      <w:r w:rsidRPr="000F1882">
        <w:t>2.2</w:t>
      </w:r>
      <w:r w:rsidRPr="000F1882">
        <w:tab/>
        <w:t xml:space="preserve">The concept of </w:t>
      </w:r>
      <w:r w:rsidR="00EC1311">
        <w:rPr>
          <w:rFonts w:cs="Arial"/>
        </w:rPr>
        <w:t>‘</w:t>
      </w:r>
      <w:r w:rsidRPr="000F1882">
        <w:t>scope</w:t>
      </w:r>
      <w:r w:rsidR="00EC1311">
        <w:rPr>
          <w:rFonts w:cs="Arial"/>
        </w:rPr>
        <w:t>’</w:t>
      </w:r>
      <w:bookmarkEnd w:id="70"/>
      <w:bookmarkEnd w:id="71"/>
      <w:bookmarkEnd w:id="72"/>
      <w:bookmarkEnd w:id="73"/>
      <w:bookmarkEnd w:id="74"/>
    </w:p>
    <w:p w:rsidR="00EC1311" w:rsidRDefault="009E3385" w:rsidP="008104BE">
      <w:pPr>
        <w:jc w:val="left"/>
      </w:pPr>
      <w:r w:rsidRPr="000F1882">
        <w:rPr>
          <w:i/>
        </w:rPr>
        <w:t>The GHG Protocol</w:t>
      </w:r>
      <w:r w:rsidRPr="000F1882">
        <w:t xml:space="preserve"> categorises emission sources into Scope 1, Scope 2 and Scope 3 activities as follows:</w:t>
      </w:r>
    </w:p>
    <w:p w:rsidR="009E3385" w:rsidRPr="000F1882" w:rsidRDefault="009E3385" w:rsidP="008104BE">
      <w:pPr>
        <w:pStyle w:val="Bullet"/>
        <w:jc w:val="left"/>
      </w:pPr>
      <w:r w:rsidRPr="000F1882">
        <w:t>Scope 1: Direct GHG emissions occurring from sources that are owned or controlled by the company (</w:t>
      </w:r>
      <w:proofErr w:type="spellStart"/>
      <w:r w:rsidRPr="000F1882">
        <w:t>ie</w:t>
      </w:r>
      <w:proofErr w:type="spellEnd"/>
      <w:r w:rsidRPr="000F1882">
        <w:t xml:space="preserve">, sources within the organisational boundary). For example, emissions from combustion of fuel in owned or controlled vehicles. </w:t>
      </w:r>
      <w:r w:rsidRPr="000F1882">
        <w:rPr>
          <w:i/>
        </w:rPr>
        <w:t>The GHG Protocol</w:t>
      </w:r>
      <w:r w:rsidRPr="000F1882">
        <w:t xml:space="preserve"> and </w:t>
      </w:r>
      <w:r w:rsidRPr="000F1882">
        <w:rPr>
          <w:i/>
        </w:rPr>
        <w:t>ISO 14064-1</w:t>
      </w:r>
      <w:r w:rsidRPr="000F1882">
        <w:t xml:space="preserve"> </w:t>
      </w:r>
      <w:r w:rsidRPr="00967DDE">
        <w:rPr>
          <w:b/>
        </w:rPr>
        <w:t>require</w:t>
      </w:r>
      <w:r w:rsidRPr="000F1882">
        <w:t xml:space="preserve"> Scope 1 emissions to be reported.</w:t>
      </w:r>
    </w:p>
    <w:p w:rsidR="009E3385" w:rsidRPr="000F1882" w:rsidRDefault="009E3385" w:rsidP="008104BE">
      <w:pPr>
        <w:pStyle w:val="Bullet"/>
        <w:jc w:val="left"/>
      </w:pPr>
      <w:r w:rsidRPr="000F1882">
        <w:t xml:space="preserve">Scope 2: Indirect GHG emissions occurring from the generation of purchased electricity consumed by the company. </w:t>
      </w:r>
      <w:r w:rsidRPr="000F1882">
        <w:rPr>
          <w:i/>
        </w:rPr>
        <w:t>The GHG Protocol</w:t>
      </w:r>
      <w:r w:rsidRPr="000F1882">
        <w:t xml:space="preserve"> and </w:t>
      </w:r>
      <w:r w:rsidRPr="000F1882">
        <w:rPr>
          <w:i/>
        </w:rPr>
        <w:t xml:space="preserve">ISO 14064-1 </w:t>
      </w:r>
      <w:r w:rsidRPr="00967DDE">
        <w:rPr>
          <w:b/>
        </w:rPr>
        <w:t>require</w:t>
      </w:r>
      <w:r w:rsidRPr="000F1882">
        <w:t xml:space="preserve"> Scope 2 emissions to be reported.</w:t>
      </w:r>
    </w:p>
    <w:p w:rsidR="009E3385" w:rsidRPr="000F1882" w:rsidRDefault="009E3385" w:rsidP="008104BE">
      <w:pPr>
        <w:pStyle w:val="Bullet"/>
        <w:jc w:val="left"/>
      </w:pPr>
      <w:r w:rsidRPr="000F1882">
        <w:lastRenderedPageBreak/>
        <w:t>Scope 3: Other indirect GHG emissions occurring as a consequence of the activities of the company, but generated from sources not owned or controlled by the company (</w:t>
      </w:r>
      <w:proofErr w:type="spellStart"/>
      <w:r w:rsidRPr="000F1882">
        <w:t>eg</w:t>
      </w:r>
      <w:proofErr w:type="spellEnd"/>
      <w:r w:rsidRPr="000F1882">
        <w:t xml:space="preserve">, emissions from air travel). Under the reporting framework of </w:t>
      </w:r>
      <w:r w:rsidRPr="007B0498">
        <w:rPr>
          <w:i/>
        </w:rPr>
        <w:t>The GHG Protocol</w:t>
      </w:r>
      <w:r w:rsidRPr="000F1882">
        <w:t xml:space="preserve"> and </w:t>
      </w:r>
      <w:r w:rsidRPr="000E4C53">
        <w:rPr>
          <w:i/>
        </w:rPr>
        <w:t>ISO 14064-1</w:t>
      </w:r>
      <w:r w:rsidRPr="000F1882">
        <w:t xml:space="preserve">, Scope 3 is an </w:t>
      </w:r>
      <w:r w:rsidRPr="00967DDE">
        <w:rPr>
          <w:b/>
        </w:rPr>
        <w:t>optional</w:t>
      </w:r>
      <w:r w:rsidRPr="000F1882">
        <w:t xml:space="preserve"> reporting category that allows for the treatment of all other indirect emissions. </w:t>
      </w:r>
      <w:r w:rsidRPr="00833119">
        <w:rPr>
          <w:i/>
        </w:rPr>
        <w:t>The GHG Protocol</w:t>
      </w:r>
      <w:r w:rsidRPr="000F1882">
        <w:t xml:space="preserve"> states that Scope 3 emissions should be reported if they are 1) significant in the context of the whole inventory, 2) material to stakeholders, and 3) easy to </w:t>
      </w:r>
      <w:r w:rsidR="004371AB">
        <w:t>d</w:t>
      </w:r>
      <w:r w:rsidRPr="000F1882">
        <w:t>educe.</w:t>
      </w:r>
    </w:p>
    <w:p w:rsidR="009E3385" w:rsidRPr="000F1882" w:rsidRDefault="009E3385" w:rsidP="008104BE">
      <w:pPr>
        <w:jc w:val="left"/>
      </w:pPr>
    </w:p>
    <w:p w:rsidR="009E3385" w:rsidRDefault="009E3385" w:rsidP="008104BE">
      <w:pPr>
        <w:jc w:val="left"/>
      </w:pPr>
      <w:r w:rsidRPr="000F1882">
        <w:t>Section 3 of this guide presents emission factors according to each category of activity.</w:t>
      </w:r>
    </w:p>
    <w:p w:rsidR="002537CD" w:rsidRPr="000F1882" w:rsidRDefault="002537CD" w:rsidP="008104BE">
      <w:pPr>
        <w:jc w:val="left"/>
      </w:pPr>
    </w:p>
    <w:p w:rsidR="009E3385" w:rsidRPr="000F1882" w:rsidRDefault="009E3385" w:rsidP="002537CD">
      <w:pPr>
        <w:pStyle w:val="Heading1"/>
      </w:pPr>
      <w:r w:rsidRPr="000F1882">
        <w:br w:type="page"/>
      </w:r>
      <w:bookmarkStart w:id="75" w:name="_Toc469577169"/>
      <w:bookmarkStart w:id="76" w:name="_Toc185407819"/>
      <w:bookmarkStart w:id="77" w:name="_Toc185408063"/>
      <w:bookmarkStart w:id="78" w:name="_Toc209932986"/>
      <w:bookmarkStart w:id="79" w:name="_Toc210026923"/>
      <w:bookmarkStart w:id="80" w:name="_Toc289083959"/>
      <w:r w:rsidRPr="000F1882">
        <w:lastRenderedPageBreak/>
        <w:t>3</w:t>
      </w:r>
      <w:r w:rsidRPr="000F1882">
        <w:tab/>
        <w:t>Emission factors and methods</w:t>
      </w:r>
      <w:bookmarkEnd w:id="75"/>
      <w:r w:rsidRPr="000F1882">
        <w:t xml:space="preserve"> </w:t>
      </w:r>
      <w:bookmarkStart w:id="81" w:name="_Toc185407820"/>
      <w:bookmarkStart w:id="82" w:name="_Toc185408064"/>
      <w:bookmarkEnd w:id="76"/>
      <w:bookmarkEnd w:id="77"/>
      <w:bookmarkEnd w:id="78"/>
      <w:bookmarkEnd w:id="79"/>
      <w:bookmarkEnd w:id="80"/>
    </w:p>
    <w:p w:rsidR="009E3385" w:rsidRPr="000F1882" w:rsidRDefault="009E3385" w:rsidP="002537CD">
      <w:pPr>
        <w:pStyle w:val="Heading2"/>
      </w:pPr>
      <w:bookmarkStart w:id="83" w:name="_Toc209932987"/>
      <w:bookmarkStart w:id="84" w:name="_Toc210026924"/>
      <w:bookmarkStart w:id="85" w:name="_Toc289083960"/>
      <w:bookmarkStart w:id="86" w:name="_Toc469577170"/>
      <w:r w:rsidRPr="000F1882">
        <w:t>3.1</w:t>
      </w:r>
      <w:r w:rsidRPr="000F1882">
        <w:tab/>
        <w:t>Scope 1: Direct emissions</w:t>
      </w:r>
      <w:bookmarkEnd w:id="81"/>
      <w:bookmarkEnd w:id="82"/>
      <w:bookmarkEnd w:id="83"/>
      <w:bookmarkEnd w:id="84"/>
      <w:bookmarkEnd w:id="85"/>
      <w:bookmarkEnd w:id="86"/>
    </w:p>
    <w:p w:rsidR="009E3385" w:rsidRPr="000F1882" w:rsidRDefault="009E3385" w:rsidP="00925D4C">
      <w:pPr>
        <w:pStyle w:val="Heading3"/>
        <w:spacing w:before="120"/>
      </w:pPr>
      <w:bookmarkStart w:id="87" w:name="_Toc185407821"/>
      <w:bookmarkStart w:id="88" w:name="_Toc185408065"/>
      <w:bookmarkStart w:id="89" w:name="_Toc209932988"/>
      <w:bookmarkStart w:id="90" w:name="_Toc210026925"/>
      <w:bookmarkStart w:id="91" w:name="_Toc289083961"/>
      <w:bookmarkStart w:id="92" w:name="_Toc469577171"/>
      <w:r w:rsidRPr="000F1882">
        <w:t>3.1.1</w:t>
      </w:r>
      <w:r w:rsidRPr="000F1882">
        <w:tab/>
        <w:t>Stationary combustion of fuels</w:t>
      </w:r>
      <w:bookmarkEnd w:id="87"/>
      <w:bookmarkEnd w:id="88"/>
      <w:bookmarkEnd w:id="89"/>
      <w:bookmarkEnd w:id="90"/>
      <w:bookmarkEnd w:id="91"/>
      <w:bookmarkEnd w:id="92"/>
    </w:p>
    <w:p w:rsidR="009E3385" w:rsidRPr="000F1882" w:rsidRDefault="009E3385" w:rsidP="004641DE">
      <w:pPr>
        <w:jc w:val="left"/>
      </w:pPr>
      <w:r w:rsidRPr="000F1882">
        <w:t xml:space="preserve">Scope 1 emissions occur from the combustion of fuels from sources owned or controlled by the reporting organisation. </w:t>
      </w:r>
      <w:r w:rsidR="004A4ADF">
        <w:fldChar w:fldCharType="begin"/>
      </w:r>
      <w:r w:rsidR="004A4ADF">
        <w:instrText xml:space="preserve"> REF _Ref208387102 \h  \* MERGEFORMAT </w:instrText>
      </w:r>
      <w:r w:rsidR="004A4ADF">
        <w:fldChar w:fldCharType="separate"/>
      </w:r>
      <w:r w:rsidR="00AD27F1" w:rsidRPr="000F1882">
        <w:t xml:space="preserve">Table </w:t>
      </w:r>
      <w:r w:rsidR="00AD27F1">
        <w:t>1</w:t>
      </w:r>
      <w:r w:rsidR="004A4ADF">
        <w:fldChar w:fldCharType="end"/>
      </w:r>
      <w:r w:rsidRPr="000F1882">
        <w:t xml:space="preserve"> contains emission factors for common fuels used for stationary combustion.</w:t>
      </w:r>
    </w:p>
    <w:p w:rsidR="009E3385" w:rsidRPr="000F1882" w:rsidRDefault="009E3385" w:rsidP="004641DE">
      <w:pPr>
        <w:jc w:val="left"/>
      </w:pPr>
    </w:p>
    <w:p w:rsidR="00EC1311" w:rsidRDefault="009E3385" w:rsidP="004641DE">
      <w:pPr>
        <w:jc w:val="left"/>
      </w:pPr>
      <w:r w:rsidRPr="000F1882">
        <w:t xml:space="preserve">In line with the reporting requirements of </w:t>
      </w:r>
      <w:r w:rsidRPr="000F1882">
        <w:rPr>
          <w:i/>
        </w:rPr>
        <w:t>ISO 14064-1</w:t>
      </w:r>
      <w:r w:rsidRPr="000F1882">
        <w:t xml:space="preserve"> and</w:t>
      </w:r>
      <w:r w:rsidRPr="000F1882">
        <w:rPr>
          <w:i/>
        </w:rPr>
        <w:t xml:space="preserve"> The GHG Protocol,</w:t>
      </w:r>
      <w:r w:rsidRPr="000F1882">
        <w:t xml:space="preserve"> emission factors are provided to allow calculation of CO</w:t>
      </w:r>
      <w:r w:rsidRPr="000F1882">
        <w:rPr>
          <w:szCs w:val="22"/>
          <w:vertAlign w:val="subscript"/>
        </w:rPr>
        <w:t>2</w:t>
      </w:r>
      <w:r w:rsidRPr="000F1882">
        <w:t>, CH</w:t>
      </w:r>
      <w:r w:rsidRPr="000F1882">
        <w:rPr>
          <w:szCs w:val="22"/>
          <w:vertAlign w:val="subscript"/>
        </w:rPr>
        <w:t>4</w:t>
      </w:r>
      <w:r w:rsidRPr="000F1882">
        <w:t xml:space="preserve"> and N</w:t>
      </w:r>
      <w:r w:rsidRPr="000F1882">
        <w:rPr>
          <w:szCs w:val="22"/>
          <w:vertAlign w:val="subscript"/>
        </w:rPr>
        <w:t>2</w:t>
      </w:r>
      <w:r w:rsidRPr="000F1882">
        <w:t>O separately.</w:t>
      </w:r>
    </w:p>
    <w:p w:rsidR="009E3385" w:rsidRPr="000F1882" w:rsidRDefault="009E3385" w:rsidP="002537CD"/>
    <w:p w:rsidR="002F507B" w:rsidRDefault="009E3385" w:rsidP="00925D4C">
      <w:pPr>
        <w:pStyle w:val="Table"/>
      </w:pPr>
      <w:bookmarkStart w:id="93" w:name="_Ref208387102"/>
      <w:bookmarkStart w:id="94" w:name="_Toc210024145"/>
      <w:bookmarkStart w:id="95" w:name="_Toc289084082"/>
      <w:bookmarkStart w:id="96" w:name="_Toc469577140"/>
      <w:r w:rsidRPr="000F1882">
        <w:t xml:space="preserve">Table </w:t>
      </w:r>
      <w:r w:rsidR="002537CD">
        <w:t>1</w:t>
      </w:r>
      <w:bookmarkEnd w:id="93"/>
      <w:r w:rsidRPr="000F1882">
        <w:t>:</w:t>
      </w:r>
      <w:r w:rsidRPr="002537CD">
        <w:tab/>
        <w:t>Fuel combustion emission factors (fuels used for stationary combustion)</w:t>
      </w:r>
      <w:bookmarkEnd w:id="94"/>
      <w:bookmarkEnd w:id="95"/>
      <w:bookmarkEnd w:id="96"/>
    </w:p>
    <w:tbl>
      <w:tblPr>
        <w:tblW w:w="8473" w:type="dxa"/>
        <w:tblLayout w:type="fixed"/>
        <w:tblLook w:val="04A0" w:firstRow="1" w:lastRow="0" w:firstColumn="1" w:lastColumn="0" w:noHBand="0" w:noVBand="1"/>
      </w:tblPr>
      <w:tblGrid>
        <w:gridCol w:w="1527"/>
        <w:gridCol w:w="1276"/>
        <w:gridCol w:w="567"/>
        <w:gridCol w:w="992"/>
        <w:gridCol w:w="1028"/>
        <w:gridCol w:w="983"/>
        <w:gridCol w:w="1107"/>
        <w:gridCol w:w="993"/>
      </w:tblGrid>
      <w:tr w:rsidR="00C710A7" w:rsidRPr="00D01DD3" w:rsidTr="00EE0B09">
        <w:trPr>
          <w:trHeight w:val="377"/>
          <w:tblHeader/>
        </w:trPr>
        <w:tc>
          <w:tcPr>
            <w:tcW w:w="1527" w:type="dxa"/>
            <w:vMerge w:val="restart"/>
            <w:tcBorders>
              <w:top w:val="single" w:sz="8" w:space="0" w:color="auto"/>
              <w:left w:val="single" w:sz="8" w:space="0" w:color="auto"/>
              <w:right w:val="single" w:sz="8" w:space="0" w:color="auto"/>
            </w:tcBorders>
            <w:shd w:val="clear" w:color="000000" w:fill="D9D9D9"/>
            <w:vAlign w:val="bottom"/>
            <w:hideMark/>
          </w:tcPr>
          <w:p w:rsidR="0085277B" w:rsidRPr="000460F3" w:rsidRDefault="0085277B" w:rsidP="0032465A">
            <w:pPr>
              <w:spacing w:before="60" w:after="60"/>
              <w:jc w:val="left"/>
              <w:rPr>
                <w:rFonts w:ascii="Arial" w:hAnsi="Arial" w:cs="Arial"/>
                <w:b/>
                <w:bCs/>
                <w:sz w:val="17"/>
                <w:szCs w:val="17"/>
                <w:lang w:eastAsia="en-NZ"/>
              </w:rPr>
            </w:pPr>
            <w:r w:rsidRPr="000460F3">
              <w:rPr>
                <w:rFonts w:ascii="Arial" w:hAnsi="Arial" w:cs="Arial"/>
                <w:b/>
                <w:bCs/>
                <w:sz w:val="17"/>
                <w:szCs w:val="17"/>
                <w:lang w:eastAsia="en-NZ"/>
              </w:rPr>
              <w:t>Emission source</w:t>
            </w:r>
          </w:p>
        </w:tc>
        <w:tc>
          <w:tcPr>
            <w:tcW w:w="1276" w:type="dxa"/>
            <w:vMerge w:val="restart"/>
            <w:tcBorders>
              <w:top w:val="single" w:sz="8" w:space="0" w:color="auto"/>
              <w:left w:val="single" w:sz="8" w:space="0" w:color="auto"/>
              <w:right w:val="single" w:sz="8" w:space="0" w:color="auto"/>
            </w:tcBorders>
            <w:shd w:val="clear" w:color="000000" w:fill="D9D9D9"/>
            <w:vAlign w:val="bottom"/>
            <w:hideMark/>
          </w:tcPr>
          <w:p w:rsidR="0085277B" w:rsidRPr="000460F3" w:rsidRDefault="0085277B" w:rsidP="0032465A">
            <w:pPr>
              <w:spacing w:before="60" w:after="60"/>
              <w:jc w:val="left"/>
              <w:rPr>
                <w:rFonts w:ascii="Arial" w:hAnsi="Arial" w:cs="Arial"/>
                <w:b/>
                <w:bCs/>
                <w:sz w:val="17"/>
                <w:szCs w:val="17"/>
                <w:lang w:eastAsia="en-NZ"/>
              </w:rPr>
            </w:pPr>
            <w:r w:rsidRPr="000460F3">
              <w:rPr>
                <w:rFonts w:ascii="Arial" w:hAnsi="Arial" w:cs="Arial"/>
                <w:b/>
                <w:bCs/>
                <w:sz w:val="17"/>
                <w:szCs w:val="17"/>
                <w:lang w:eastAsia="en-NZ"/>
              </w:rPr>
              <w:t>User</w:t>
            </w:r>
          </w:p>
        </w:tc>
        <w:tc>
          <w:tcPr>
            <w:tcW w:w="567" w:type="dxa"/>
            <w:vMerge w:val="restart"/>
            <w:tcBorders>
              <w:top w:val="single" w:sz="8" w:space="0" w:color="auto"/>
              <w:left w:val="single" w:sz="8" w:space="0" w:color="auto"/>
              <w:right w:val="single" w:sz="8" w:space="0" w:color="auto"/>
            </w:tcBorders>
            <w:shd w:val="clear" w:color="000000" w:fill="D9D9D9"/>
            <w:vAlign w:val="bottom"/>
            <w:hideMark/>
          </w:tcPr>
          <w:p w:rsidR="0085277B" w:rsidRPr="000460F3" w:rsidRDefault="0085277B" w:rsidP="0032465A">
            <w:pPr>
              <w:spacing w:before="60" w:after="60"/>
              <w:jc w:val="left"/>
              <w:rPr>
                <w:rFonts w:ascii="Arial" w:hAnsi="Arial" w:cs="Arial"/>
                <w:b/>
                <w:bCs/>
                <w:sz w:val="17"/>
                <w:szCs w:val="17"/>
                <w:lang w:eastAsia="en-NZ"/>
              </w:rPr>
            </w:pPr>
            <w:r w:rsidRPr="000460F3">
              <w:rPr>
                <w:rFonts w:ascii="Arial" w:hAnsi="Arial" w:cs="Arial"/>
                <w:b/>
                <w:bCs/>
                <w:sz w:val="17"/>
                <w:szCs w:val="17"/>
                <w:lang w:eastAsia="en-NZ"/>
              </w:rPr>
              <w:t>Unit</w:t>
            </w:r>
          </w:p>
        </w:tc>
        <w:tc>
          <w:tcPr>
            <w:tcW w:w="992" w:type="dxa"/>
            <w:tcBorders>
              <w:top w:val="single" w:sz="8" w:space="0" w:color="auto"/>
              <w:left w:val="nil"/>
              <w:right w:val="single" w:sz="8" w:space="0" w:color="auto"/>
            </w:tcBorders>
            <w:shd w:val="clear" w:color="000000" w:fill="D9D9D9"/>
            <w:vAlign w:val="bottom"/>
            <w:hideMark/>
          </w:tcPr>
          <w:p w:rsidR="0085277B" w:rsidRPr="000460F3" w:rsidRDefault="0085277B" w:rsidP="0032465A">
            <w:pPr>
              <w:spacing w:before="60" w:after="60"/>
              <w:jc w:val="left"/>
              <w:rPr>
                <w:rFonts w:ascii="Arial" w:hAnsi="Arial" w:cs="Arial"/>
                <w:b/>
                <w:bCs/>
                <w:sz w:val="17"/>
                <w:szCs w:val="17"/>
                <w:lang w:eastAsia="en-NZ"/>
              </w:rPr>
            </w:pPr>
            <w:r w:rsidRPr="000460F3">
              <w:rPr>
                <w:rFonts w:ascii="Arial" w:hAnsi="Arial" w:cs="Arial"/>
                <w:b/>
                <w:bCs/>
                <w:sz w:val="17"/>
                <w:szCs w:val="17"/>
                <w:lang w:eastAsia="en-NZ"/>
              </w:rPr>
              <w:t xml:space="preserve">Emission factor total </w:t>
            </w:r>
            <w:r w:rsidR="009A0DB5" w:rsidRPr="000460F3">
              <w:rPr>
                <w:rFonts w:ascii="Arial" w:hAnsi="Arial" w:cs="Arial"/>
                <w:b/>
                <w:bCs/>
                <w:sz w:val="17"/>
                <w:szCs w:val="17"/>
                <w:lang w:eastAsia="en-NZ"/>
              </w:rPr>
              <w:br/>
            </w:r>
            <w:r w:rsidRPr="000460F3">
              <w:rPr>
                <w:rFonts w:ascii="Arial" w:hAnsi="Arial" w:cs="Arial"/>
                <w:b/>
                <w:bCs/>
                <w:sz w:val="17"/>
                <w:szCs w:val="17"/>
                <w:lang w:eastAsia="en-NZ"/>
              </w:rPr>
              <w:t>CO</w:t>
            </w:r>
            <w:r w:rsidRPr="000460F3">
              <w:rPr>
                <w:rFonts w:ascii="Arial" w:hAnsi="Arial" w:cs="Arial"/>
                <w:b/>
                <w:bCs/>
                <w:sz w:val="17"/>
                <w:szCs w:val="17"/>
                <w:vertAlign w:val="subscript"/>
                <w:lang w:eastAsia="en-NZ"/>
              </w:rPr>
              <w:t>2</w:t>
            </w:r>
            <w:r w:rsidRPr="000460F3">
              <w:rPr>
                <w:rFonts w:ascii="Arial" w:hAnsi="Arial" w:cs="Arial"/>
                <w:b/>
                <w:bCs/>
                <w:sz w:val="17"/>
                <w:szCs w:val="17"/>
                <w:lang w:eastAsia="en-NZ"/>
              </w:rPr>
              <w:t>-e</w:t>
            </w:r>
          </w:p>
        </w:tc>
        <w:tc>
          <w:tcPr>
            <w:tcW w:w="1028" w:type="dxa"/>
            <w:tcBorders>
              <w:top w:val="single" w:sz="8" w:space="0" w:color="auto"/>
              <w:left w:val="nil"/>
              <w:right w:val="single" w:sz="8" w:space="0" w:color="auto"/>
            </w:tcBorders>
            <w:shd w:val="clear" w:color="000000" w:fill="D9D9D9"/>
            <w:vAlign w:val="bottom"/>
            <w:hideMark/>
          </w:tcPr>
          <w:p w:rsidR="0085277B" w:rsidRPr="000460F3" w:rsidRDefault="0085277B" w:rsidP="0032465A">
            <w:pPr>
              <w:spacing w:before="60" w:after="60"/>
              <w:jc w:val="left"/>
              <w:rPr>
                <w:rFonts w:ascii="Arial" w:hAnsi="Arial" w:cs="Arial"/>
                <w:b/>
                <w:bCs/>
                <w:sz w:val="17"/>
                <w:szCs w:val="17"/>
                <w:lang w:eastAsia="en-NZ"/>
              </w:rPr>
            </w:pPr>
            <w:r w:rsidRPr="000460F3">
              <w:rPr>
                <w:rFonts w:ascii="Arial" w:hAnsi="Arial" w:cs="Arial"/>
                <w:b/>
                <w:bCs/>
                <w:sz w:val="17"/>
                <w:szCs w:val="17"/>
                <w:lang w:eastAsia="en-NZ"/>
              </w:rPr>
              <w:t>Emission factor CO</w:t>
            </w:r>
            <w:r w:rsidRPr="000460F3">
              <w:rPr>
                <w:rFonts w:ascii="Arial" w:hAnsi="Arial" w:cs="Arial"/>
                <w:b/>
                <w:bCs/>
                <w:sz w:val="17"/>
                <w:szCs w:val="17"/>
                <w:vertAlign w:val="subscript"/>
                <w:lang w:eastAsia="en-NZ"/>
              </w:rPr>
              <w:t>2</w:t>
            </w:r>
          </w:p>
        </w:tc>
        <w:tc>
          <w:tcPr>
            <w:tcW w:w="983" w:type="dxa"/>
            <w:tcBorders>
              <w:top w:val="single" w:sz="8" w:space="0" w:color="auto"/>
              <w:left w:val="nil"/>
              <w:right w:val="single" w:sz="8" w:space="0" w:color="auto"/>
            </w:tcBorders>
            <w:shd w:val="clear" w:color="000000" w:fill="D9D9D9"/>
            <w:vAlign w:val="bottom"/>
            <w:hideMark/>
          </w:tcPr>
          <w:p w:rsidR="0085277B" w:rsidRPr="000460F3" w:rsidRDefault="0085277B" w:rsidP="0032465A">
            <w:pPr>
              <w:spacing w:before="60" w:after="60"/>
              <w:jc w:val="left"/>
              <w:rPr>
                <w:rFonts w:ascii="Arial" w:hAnsi="Arial" w:cs="Arial"/>
                <w:b/>
                <w:bCs/>
                <w:sz w:val="17"/>
                <w:szCs w:val="17"/>
                <w:lang w:eastAsia="en-NZ"/>
              </w:rPr>
            </w:pPr>
            <w:r w:rsidRPr="000460F3">
              <w:rPr>
                <w:rFonts w:ascii="Arial" w:hAnsi="Arial" w:cs="Arial"/>
                <w:b/>
                <w:bCs/>
                <w:sz w:val="17"/>
                <w:szCs w:val="17"/>
                <w:lang w:eastAsia="en-NZ"/>
              </w:rPr>
              <w:t>Emission factor CH</w:t>
            </w:r>
            <w:r w:rsidRPr="000460F3">
              <w:rPr>
                <w:rFonts w:ascii="Arial" w:hAnsi="Arial" w:cs="Arial"/>
                <w:b/>
                <w:bCs/>
                <w:sz w:val="17"/>
                <w:szCs w:val="17"/>
                <w:vertAlign w:val="subscript"/>
                <w:lang w:eastAsia="en-NZ"/>
              </w:rPr>
              <w:t>4</w:t>
            </w:r>
          </w:p>
        </w:tc>
        <w:tc>
          <w:tcPr>
            <w:tcW w:w="1107" w:type="dxa"/>
            <w:tcBorders>
              <w:top w:val="single" w:sz="8" w:space="0" w:color="auto"/>
              <w:left w:val="nil"/>
              <w:right w:val="single" w:sz="8" w:space="0" w:color="auto"/>
            </w:tcBorders>
            <w:shd w:val="clear" w:color="000000" w:fill="D9D9D9"/>
            <w:vAlign w:val="bottom"/>
            <w:hideMark/>
          </w:tcPr>
          <w:p w:rsidR="0085277B" w:rsidRPr="000460F3" w:rsidRDefault="0085277B" w:rsidP="0032465A">
            <w:pPr>
              <w:spacing w:before="60" w:after="60"/>
              <w:jc w:val="left"/>
              <w:rPr>
                <w:rFonts w:ascii="Arial" w:hAnsi="Arial" w:cs="Arial"/>
                <w:b/>
                <w:bCs/>
                <w:sz w:val="17"/>
                <w:szCs w:val="17"/>
                <w:lang w:eastAsia="en-NZ"/>
              </w:rPr>
            </w:pPr>
            <w:r w:rsidRPr="000460F3">
              <w:rPr>
                <w:rFonts w:ascii="Arial" w:hAnsi="Arial" w:cs="Arial"/>
                <w:b/>
                <w:bCs/>
                <w:sz w:val="17"/>
                <w:szCs w:val="17"/>
                <w:lang w:eastAsia="en-NZ"/>
              </w:rPr>
              <w:t>Emission factor N</w:t>
            </w:r>
            <w:r w:rsidRPr="000460F3">
              <w:rPr>
                <w:rFonts w:ascii="Arial" w:hAnsi="Arial" w:cs="Arial"/>
                <w:b/>
                <w:bCs/>
                <w:sz w:val="17"/>
                <w:szCs w:val="17"/>
                <w:vertAlign w:val="subscript"/>
                <w:lang w:eastAsia="en-NZ"/>
              </w:rPr>
              <w:t>2</w:t>
            </w:r>
            <w:r w:rsidRPr="000460F3">
              <w:rPr>
                <w:rFonts w:ascii="Arial" w:hAnsi="Arial" w:cs="Arial"/>
                <w:b/>
                <w:bCs/>
                <w:sz w:val="17"/>
                <w:szCs w:val="17"/>
                <w:lang w:eastAsia="en-NZ"/>
              </w:rPr>
              <w:t>O</w:t>
            </w:r>
          </w:p>
        </w:tc>
        <w:tc>
          <w:tcPr>
            <w:tcW w:w="993" w:type="dxa"/>
            <w:tcBorders>
              <w:top w:val="single" w:sz="8" w:space="0" w:color="auto"/>
              <w:left w:val="nil"/>
              <w:right w:val="single" w:sz="8" w:space="0" w:color="auto"/>
            </w:tcBorders>
            <w:shd w:val="clear" w:color="000000" w:fill="D9D9D9"/>
            <w:vAlign w:val="bottom"/>
            <w:hideMark/>
          </w:tcPr>
          <w:p w:rsidR="0085277B" w:rsidRPr="000460F3" w:rsidRDefault="0085277B" w:rsidP="000460F3">
            <w:pPr>
              <w:spacing w:before="60" w:after="60"/>
              <w:jc w:val="left"/>
              <w:rPr>
                <w:rFonts w:ascii="Arial" w:hAnsi="Arial" w:cs="Arial"/>
                <w:b/>
                <w:bCs/>
                <w:sz w:val="17"/>
                <w:szCs w:val="17"/>
                <w:lang w:eastAsia="en-NZ"/>
              </w:rPr>
            </w:pPr>
            <w:r w:rsidRPr="000460F3">
              <w:rPr>
                <w:rFonts w:ascii="Arial" w:hAnsi="Arial" w:cs="Arial"/>
                <w:b/>
                <w:bCs/>
                <w:sz w:val="17"/>
                <w:szCs w:val="17"/>
                <w:lang w:eastAsia="en-NZ"/>
              </w:rPr>
              <w:t xml:space="preserve">Uncertainty </w:t>
            </w:r>
            <w:r w:rsidR="000460F3">
              <w:rPr>
                <w:rFonts w:ascii="Arial" w:hAnsi="Arial" w:cs="Arial"/>
                <w:b/>
                <w:bCs/>
                <w:sz w:val="17"/>
                <w:szCs w:val="17"/>
                <w:lang w:eastAsia="en-NZ"/>
              </w:rPr>
              <w:t>t</w:t>
            </w:r>
            <w:r w:rsidRPr="000460F3">
              <w:rPr>
                <w:rFonts w:ascii="Arial" w:hAnsi="Arial" w:cs="Arial"/>
                <w:b/>
                <w:bCs/>
                <w:sz w:val="17"/>
                <w:szCs w:val="17"/>
                <w:lang w:eastAsia="en-NZ"/>
              </w:rPr>
              <w:t xml:space="preserve">otal </w:t>
            </w:r>
            <w:r w:rsidR="007E702F" w:rsidRPr="000460F3">
              <w:rPr>
                <w:rFonts w:ascii="Arial" w:hAnsi="Arial" w:cs="Arial"/>
                <w:b/>
                <w:bCs/>
                <w:sz w:val="17"/>
                <w:szCs w:val="17"/>
                <w:lang w:eastAsia="en-NZ"/>
              </w:rPr>
              <w:br/>
            </w:r>
            <w:r w:rsidRPr="000460F3">
              <w:rPr>
                <w:rFonts w:ascii="Arial" w:hAnsi="Arial" w:cs="Arial"/>
                <w:b/>
                <w:bCs/>
                <w:sz w:val="17"/>
                <w:szCs w:val="17"/>
                <w:lang w:eastAsia="en-NZ"/>
              </w:rPr>
              <w:t>CO</w:t>
            </w:r>
            <w:r w:rsidRPr="000460F3">
              <w:rPr>
                <w:rFonts w:ascii="Arial" w:hAnsi="Arial" w:cs="Arial"/>
                <w:b/>
                <w:bCs/>
                <w:sz w:val="17"/>
                <w:szCs w:val="17"/>
                <w:vertAlign w:val="subscript"/>
                <w:lang w:eastAsia="en-NZ"/>
              </w:rPr>
              <w:t>2</w:t>
            </w:r>
            <w:r w:rsidRPr="000460F3">
              <w:rPr>
                <w:rFonts w:ascii="Arial" w:hAnsi="Arial" w:cs="Arial"/>
                <w:b/>
                <w:bCs/>
                <w:sz w:val="17"/>
                <w:szCs w:val="17"/>
                <w:lang w:eastAsia="en-NZ"/>
              </w:rPr>
              <w:t>-e</w:t>
            </w:r>
          </w:p>
        </w:tc>
      </w:tr>
      <w:tr w:rsidR="00C710A7" w:rsidRPr="00D01DD3" w:rsidTr="00EE0B09">
        <w:trPr>
          <w:trHeight w:val="854"/>
        </w:trPr>
        <w:tc>
          <w:tcPr>
            <w:tcW w:w="1527" w:type="dxa"/>
            <w:vMerge/>
            <w:tcBorders>
              <w:left w:val="single" w:sz="8" w:space="0" w:color="auto"/>
              <w:bottom w:val="single" w:sz="8" w:space="0" w:color="auto"/>
              <w:right w:val="single" w:sz="8" w:space="0" w:color="auto"/>
            </w:tcBorders>
            <w:vAlign w:val="center"/>
            <w:hideMark/>
          </w:tcPr>
          <w:p w:rsidR="0085277B" w:rsidRPr="000460F3" w:rsidRDefault="0085277B" w:rsidP="0032465A">
            <w:pPr>
              <w:spacing w:before="60" w:after="60"/>
              <w:jc w:val="left"/>
              <w:rPr>
                <w:rFonts w:ascii="Arial" w:hAnsi="Arial" w:cs="Arial"/>
                <w:b/>
                <w:bCs/>
                <w:sz w:val="17"/>
                <w:szCs w:val="17"/>
                <w:lang w:eastAsia="en-NZ"/>
              </w:rPr>
            </w:pPr>
          </w:p>
        </w:tc>
        <w:tc>
          <w:tcPr>
            <w:tcW w:w="1276" w:type="dxa"/>
            <w:vMerge/>
            <w:tcBorders>
              <w:left w:val="single" w:sz="8" w:space="0" w:color="auto"/>
              <w:bottom w:val="single" w:sz="8" w:space="0" w:color="auto"/>
              <w:right w:val="single" w:sz="8" w:space="0" w:color="auto"/>
            </w:tcBorders>
            <w:vAlign w:val="center"/>
            <w:hideMark/>
          </w:tcPr>
          <w:p w:rsidR="0085277B" w:rsidRPr="000460F3" w:rsidRDefault="0085277B" w:rsidP="0032465A">
            <w:pPr>
              <w:spacing w:before="60" w:after="60"/>
              <w:jc w:val="left"/>
              <w:rPr>
                <w:rFonts w:ascii="Arial" w:hAnsi="Arial" w:cs="Arial"/>
                <w:b/>
                <w:bCs/>
                <w:sz w:val="17"/>
                <w:szCs w:val="17"/>
                <w:lang w:eastAsia="en-NZ"/>
              </w:rPr>
            </w:pPr>
          </w:p>
        </w:tc>
        <w:tc>
          <w:tcPr>
            <w:tcW w:w="567" w:type="dxa"/>
            <w:vMerge/>
            <w:tcBorders>
              <w:left w:val="single" w:sz="8" w:space="0" w:color="auto"/>
              <w:bottom w:val="single" w:sz="8" w:space="0" w:color="auto"/>
              <w:right w:val="single" w:sz="8" w:space="0" w:color="auto"/>
            </w:tcBorders>
            <w:vAlign w:val="center"/>
            <w:hideMark/>
          </w:tcPr>
          <w:p w:rsidR="0085277B" w:rsidRPr="000460F3" w:rsidRDefault="0085277B" w:rsidP="0032465A">
            <w:pPr>
              <w:spacing w:before="60" w:after="60"/>
              <w:jc w:val="left"/>
              <w:rPr>
                <w:rFonts w:ascii="Arial" w:hAnsi="Arial" w:cs="Arial"/>
                <w:b/>
                <w:bCs/>
                <w:sz w:val="17"/>
                <w:szCs w:val="17"/>
                <w:lang w:eastAsia="en-NZ"/>
              </w:rPr>
            </w:pPr>
          </w:p>
        </w:tc>
        <w:tc>
          <w:tcPr>
            <w:tcW w:w="992" w:type="dxa"/>
            <w:tcBorders>
              <w:left w:val="nil"/>
              <w:bottom w:val="single" w:sz="8" w:space="0" w:color="auto"/>
              <w:right w:val="single" w:sz="8" w:space="0" w:color="auto"/>
            </w:tcBorders>
            <w:shd w:val="clear" w:color="000000" w:fill="D9D9D9"/>
            <w:vAlign w:val="bottom"/>
            <w:hideMark/>
          </w:tcPr>
          <w:p w:rsidR="0085277B" w:rsidRPr="000460F3" w:rsidRDefault="0085277B" w:rsidP="0032465A">
            <w:pPr>
              <w:spacing w:before="60" w:after="60"/>
              <w:jc w:val="left"/>
              <w:rPr>
                <w:rFonts w:ascii="Arial" w:hAnsi="Arial" w:cs="Arial"/>
                <w:b/>
                <w:bCs/>
                <w:sz w:val="17"/>
                <w:szCs w:val="17"/>
                <w:lang w:eastAsia="en-NZ"/>
              </w:rPr>
            </w:pPr>
            <w:r w:rsidRPr="000460F3">
              <w:rPr>
                <w:rFonts w:ascii="Arial" w:hAnsi="Arial" w:cs="Arial"/>
                <w:b/>
                <w:bCs/>
                <w:sz w:val="17"/>
                <w:szCs w:val="17"/>
                <w:lang w:eastAsia="en-NZ"/>
              </w:rPr>
              <w:t>(kg CO</w:t>
            </w:r>
            <w:r w:rsidRPr="000460F3">
              <w:rPr>
                <w:rFonts w:ascii="Arial" w:hAnsi="Arial" w:cs="Arial"/>
                <w:b/>
                <w:bCs/>
                <w:sz w:val="17"/>
                <w:szCs w:val="17"/>
                <w:vertAlign w:val="subscript"/>
                <w:lang w:eastAsia="en-NZ"/>
              </w:rPr>
              <w:t>2</w:t>
            </w:r>
            <w:r w:rsidRPr="000460F3">
              <w:rPr>
                <w:rFonts w:ascii="Arial" w:hAnsi="Arial" w:cs="Arial"/>
                <w:b/>
                <w:bCs/>
                <w:sz w:val="17"/>
                <w:szCs w:val="17"/>
                <w:lang w:eastAsia="en-NZ"/>
              </w:rPr>
              <w:t>-e/unit)</w:t>
            </w:r>
          </w:p>
        </w:tc>
        <w:tc>
          <w:tcPr>
            <w:tcW w:w="1028" w:type="dxa"/>
            <w:tcBorders>
              <w:left w:val="nil"/>
              <w:bottom w:val="single" w:sz="8" w:space="0" w:color="auto"/>
              <w:right w:val="single" w:sz="8" w:space="0" w:color="auto"/>
            </w:tcBorders>
            <w:shd w:val="clear" w:color="000000" w:fill="D9D9D9"/>
            <w:vAlign w:val="bottom"/>
            <w:hideMark/>
          </w:tcPr>
          <w:p w:rsidR="0085277B" w:rsidRPr="000460F3" w:rsidRDefault="0085277B" w:rsidP="0032465A">
            <w:pPr>
              <w:spacing w:before="60" w:after="60"/>
              <w:jc w:val="left"/>
              <w:rPr>
                <w:rFonts w:ascii="Arial" w:hAnsi="Arial" w:cs="Arial"/>
                <w:b/>
                <w:bCs/>
                <w:sz w:val="17"/>
                <w:szCs w:val="17"/>
                <w:lang w:eastAsia="en-NZ"/>
              </w:rPr>
            </w:pPr>
            <w:r w:rsidRPr="000460F3">
              <w:rPr>
                <w:rFonts w:ascii="Arial" w:hAnsi="Arial" w:cs="Arial"/>
                <w:b/>
                <w:bCs/>
                <w:sz w:val="17"/>
                <w:szCs w:val="17"/>
                <w:lang w:eastAsia="en-NZ"/>
              </w:rPr>
              <w:t>(kg CO</w:t>
            </w:r>
            <w:r w:rsidRPr="000460F3">
              <w:rPr>
                <w:rFonts w:ascii="Arial" w:hAnsi="Arial" w:cs="Arial"/>
                <w:b/>
                <w:bCs/>
                <w:sz w:val="17"/>
                <w:szCs w:val="17"/>
                <w:vertAlign w:val="subscript"/>
                <w:lang w:eastAsia="en-NZ"/>
              </w:rPr>
              <w:t>2</w:t>
            </w:r>
            <w:r w:rsidRPr="000460F3">
              <w:rPr>
                <w:rFonts w:ascii="Arial" w:hAnsi="Arial" w:cs="Arial"/>
                <w:b/>
                <w:bCs/>
                <w:sz w:val="17"/>
                <w:szCs w:val="17"/>
                <w:lang w:eastAsia="en-NZ"/>
              </w:rPr>
              <w:t>/unit)</w:t>
            </w:r>
          </w:p>
        </w:tc>
        <w:tc>
          <w:tcPr>
            <w:tcW w:w="983" w:type="dxa"/>
            <w:tcBorders>
              <w:left w:val="nil"/>
              <w:bottom w:val="single" w:sz="8" w:space="0" w:color="auto"/>
              <w:right w:val="single" w:sz="8" w:space="0" w:color="auto"/>
            </w:tcBorders>
            <w:shd w:val="clear" w:color="000000" w:fill="D9D9D9"/>
            <w:vAlign w:val="bottom"/>
            <w:hideMark/>
          </w:tcPr>
          <w:p w:rsidR="0085277B" w:rsidRPr="000460F3" w:rsidRDefault="0085277B" w:rsidP="0032465A">
            <w:pPr>
              <w:spacing w:before="60" w:after="60"/>
              <w:jc w:val="left"/>
              <w:rPr>
                <w:rFonts w:ascii="Arial" w:hAnsi="Arial" w:cs="Arial"/>
                <w:b/>
                <w:bCs/>
                <w:sz w:val="17"/>
                <w:szCs w:val="17"/>
                <w:lang w:eastAsia="en-NZ"/>
              </w:rPr>
            </w:pPr>
            <w:r w:rsidRPr="000460F3">
              <w:rPr>
                <w:rFonts w:ascii="Arial" w:hAnsi="Arial" w:cs="Arial"/>
                <w:b/>
                <w:bCs/>
                <w:sz w:val="17"/>
                <w:szCs w:val="17"/>
                <w:lang w:eastAsia="en-NZ"/>
              </w:rPr>
              <w:t>(kg CO</w:t>
            </w:r>
            <w:r w:rsidRPr="000460F3">
              <w:rPr>
                <w:rFonts w:ascii="Arial" w:hAnsi="Arial" w:cs="Arial"/>
                <w:b/>
                <w:bCs/>
                <w:sz w:val="17"/>
                <w:szCs w:val="17"/>
                <w:vertAlign w:val="subscript"/>
                <w:lang w:eastAsia="en-NZ"/>
              </w:rPr>
              <w:t>2</w:t>
            </w:r>
            <w:r w:rsidRPr="000460F3">
              <w:rPr>
                <w:rFonts w:ascii="Arial" w:hAnsi="Arial" w:cs="Arial"/>
                <w:b/>
                <w:bCs/>
                <w:sz w:val="17"/>
                <w:szCs w:val="17"/>
                <w:lang w:eastAsia="en-NZ"/>
              </w:rPr>
              <w:t>-e/unit)</w:t>
            </w:r>
          </w:p>
        </w:tc>
        <w:tc>
          <w:tcPr>
            <w:tcW w:w="1107" w:type="dxa"/>
            <w:tcBorders>
              <w:left w:val="nil"/>
              <w:bottom w:val="single" w:sz="8" w:space="0" w:color="auto"/>
              <w:right w:val="single" w:sz="8" w:space="0" w:color="auto"/>
            </w:tcBorders>
            <w:shd w:val="clear" w:color="000000" w:fill="D9D9D9"/>
            <w:vAlign w:val="bottom"/>
            <w:hideMark/>
          </w:tcPr>
          <w:p w:rsidR="0085277B" w:rsidRPr="000460F3" w:rsidRDefault="0085277B" w:rsidP="0032465A">
            <w:pPr>
              <w:spacing w:before="60" w:after="60"/>
              <w:jc w:val="left"/>
              <w:rPr>
                <w:rFonts w:ascii="Arial" w:hAnsi="Arial" w:cs="Arial"/>
                <w:b/>
                <w:bCs/>
                <w:sz w:val="17"/>
                <w:szCs w:val="17"/>
                <w:lang w:eastAsia="en-NZ"/>
              </w:rPr>
            </w:pPr>
            <w:r w:rsidRPr="000460F3">
              <w:rPr>
                <w:rFonts w:ascii="Arial" w:hAnsi="Arial" w:cs="Arial"/>
                <w:b/>
                <w:bCs/>
                <w:sz w:val="17"/>
                <w:szCs w:val="17"/>
                <w:lang w:eastAsia="en-NZ"/>
              </w:rPr>
              <w:t>(kg CO</w:t>
            </w:r>
            <w:r w:rsidRPr="000460F3">
              <w:rPr>
                <w:rFonts w:ascii="Arial" w:hAnsi="Arial" w:cs="Arial"/>
                <w:b/>
                <w:bCs/>
                <w:sz w:val="17"/>
                <w:szCs w:val="17"/>
                <w:vertAlign w:val="subscript"/>
                <w:lang w:eastAsia="en-NZ"/>
              </w:rPr>
              <w:t>2</w:t>
            </w:r>
            <w:r w:rsidRPr="000460F3">
              <w:rPr>
                <w:rFonts w:ascii="Arial" w:hAnsi="Arial" w:cs="Arial"/>
                <w:b/>
                <w:bCs/>
                <w:sz w:val="17"/>
                <w:szCs w:val="17"/>
                <w:lang w:eastAsia="en-NZ"/>
              </w:rPr>
              <w:t>-e/unit)</w:t>
            </w:r>
          </w:p>
        </w:tc>
        <w:tc>
          <w:tcPr>
            <w:tcW w:w="993" w:type="dxa"/>
            <w:tcBorders>
              <w:left w:val="nil"/>
              <w:bottom w:val="single" w:sz="8" w:space="0" w:color="auto"/>
              <w:right w:val="single" w:sz="8" w:space="0" w:color="auto"/>
            </w:tcBorders>
            <w:shd w:val="clear" w:color="000000" w:fill="D9D9D9"/>
            <w:vAlign w:val="bottom"/>
            <w:hideMark/>
          </w:tcPr>
          <w:p w:rsidR="0085277B" w:rsidRPr="000460F3" w:rsidRDefault="0085277B" w:rsidP="0032465A">
            <w:pPr>
              <w:spacing w:before="60" w:after="60"/>
              <w:jc w:val="left"/>
              <w:rPr>
                <w:rFonts w:ascii="Arial" w:hAnsi="Arial" w:cs="Arial"/>
                <w:b/>
                <w:bCs/>
                <w:sz w:val="17"/>
                <w:szCs w:val="17"/>
                <w:lang w:eastAsia="en-NZ"/>
              </w:rPr>
            </w:pPr>
            <w:r w:rsidRPr="000460F3">
              <w:rPr>
                <w:rFonts w:ascii="Arial" w:hAnsi="Arial" w:cs="Arial"/>
                <w:b/>
                <w:bCs/>
                <w:sz w:val="17"/>
                <w:szCs w:val="17"/>
                <w:lang w:eastAsia="en-NZ"/>
              </w:rPr>
              <w:t>(%)</w:t>
            </w:r>
          </w:p>
        </w:tc>
      </w:tr>
      <w:tr w:rsidR="00C710A7" w:rsidRPr="00D01DD3" w:rsidTr="00EE0B09">
        <w:trPr>
          <w:trHeight w:val="231"/>
        </w:trPr>
        <w:tc>
          <w:tcPr>
            <w:tcW w:w="1527" w:type="dxa"/>
            <w:tcBorders>
              <w:top w:val="single" w:sz="8" w:space="0" w:color="auto"/>
              <w:left w:val="single" w:sz="8" w:space="0" w:color="auto"/>
              <w:bottom w:val="single" w:sz="8" w:space="0" w:color="auto"/>
              <w:right w:val="single" w:sz="8" w:space="0" w:color="auto"/>
            </w:tcBorders>
            <w:shd w:val="clear" w:color="auto" w:fill="auto"/>
            <w:hideMark/>
          </w:tcPr>
          <w:p w:rsidR="0085277B" w:rsidRPr="0013311A" w:rsidRDefault="0085277B" w:rsidP="00700224">
            <w:pPr>
              <w:spacing w:before="60" w:after="60"/>
              <w:jc w:val="left"/>
              <w:rPr>
                <w:rFonts w:ascii="Arial" w:hAnsi="Arial" w:cs="Arial"/>
                <w:i/>
                <w:iCs/>
                <w:sz w:val="16"/>
                <w:szCs w:val="16"/>
                <w:lang w:eastAsia="en-NZ"/>
              </w:rPr>
            </w:pPr>
            <w:r w:rsidRPr="0013311A">
              <w:rPr>
                <w:rFonts w:ascii="Arial" w:hAnsi="Arial" w:cs="Arial"/>
                <w:i/>
                <w:iCs/>
                <w:sz w:val="16"/>
                <w:szCs w:val="16"/>
                <w:lang w:eastAsia="en-NZ"/>
              </w:rPr>
              <w:t>Stationary combustion</w:t>
            </w:r>
          </w:p>
        </w:tc>
        <w:tc>
          <w:tcPr>
            <w:tcW w:w="1276" w:type="dxa"/>
            <w:tcBorders>
              <w:top w:val="single" w:sz="8" w:space="0" w:color="auto"/>
              <w:left w:val="nil"/>
              <w:bottom w:val="single" w:sz="8" w:space="0" w:color="auto"/>
              <w:right w:val="single" w:sz="8" w:space="0" w:color="auto"/>
            </w:tcBorders>
            <w:shd w:val="clear" w:color="auto" w:fill="595959" w:themeFill="text1" w:themeFillTint="A6"/>
            <w:hideMark/>
          </w:tcPr>
          <w:p w:rsidR="0085277B" w:rsidRPr="0013311A" w:rsidRDefault="0085277B" w:rsidP="00700224">
            <w:pPr>
              <w:spacing w:before="60" w:after="60"/>
              <w:jc w:val="left"/>
              <w:rPr>
                <w:rFonts w:ascii="Arial" w:hAnsi="Arial" w:cs="Arial"/>
                <w:sz w:val="16"/>
                <w:szCs w:val="16"/>
                <w:lang w:eastAsia="en-NZ"/>
              </w:rPr>
            </w:pPr>
            <w:r w:rsidRPr="0013311A">
              <w:rPr>
                <w:rFonts w:ascii="Arial" w:hAnsi="Arial" w:cs="Arial"/>
                <w:sz w:val="16"/>
                <w:szCs w:val="16"/>
                <w:lang w:eastAsia="en-NZ"/>
              </w:rPr>
              <w:t> </w:t>
            </w:r>
          </w:p>
        </w:tc>
        <w:tc>
          <w:tcPr>
            <w:tcW w:w="567" w:type="dxa"/>
            <w:tcBorders>
              <w:top w:val="single" w:sz="8" w:space="0" w:color="auto"/>
              <w:left w:val="nil"/>
              <w:bottom w:val="single" w:sz="8" w:space="0" w:color="auto"/>
              <w:right w:val="single" w:sz="8" w:space="0" w:color="auto"/>
            </w:tcBorders>
            <w:shd w:val="clear" w:color="auto" w:fill="595959" w:themeFill="text1" w:themeFillTint="A6"/>
            <w:hideMark/>
          </w:tcPr>
          <w:p w:rsidR="0085277B" w:rsidRPr="0013311A" w:rsidRDefault="0085277B" w:rsidP="00700224">
            <w:pPr>
              <w:spacing w:before="60" w:after="60"/>
              <w:jc w:val="left"/>
              <w:rPr>
                <w:rFonts w:ascii="Arial" w:hAnsi="Arial" w:cs="Arial"/>
                <w:sz w:val="16"/>
                <w:szCs w:val="16"/>
                <w:lang w:eastAsia="en-NZ"/>
              </w:rPr>
            </w:pPr>
            <w:r w:rsidRPr="0013311A">
              <w:rPr>
                <w:rFonts w:ascii="Arial" w:hAnsi="Arial" w:cs="Arial"/>
                <w:sz w:val="16"/>
                <w:szCs w:val="16"/>
                <w:lang w:eastAsia="en-NZ"/>
              </w:rPr>
              <w:t> </w:t>
            </w:r>
          </w:p>
        </w:tc>
        <w:tc>
          <w:tcPr>
            <w:tcW w:w="992" w:type="dxa"/>
            <w:tcBorders>
              <w:top w:val="single" w:sz="8" w:space="0" w:color="auto"/>
              <w:left w:val="nil"/>
              <w:bottom w:val="single" w:sz="8" w:space="0" w:color="auto"/>
              <w:right w:val="single" w:sz="8" w:space="0" w:color="auto"/>
            </w:tcBorders>
            <w:shd w:val="clear" w:color="auto" w:fill="595959" w:themeFill="text1" w:themeFillTint="A6"/>
            <w:hideMark/>
          </w:tcPr>
          <w:p w:rsidR="0085277B" w:rsidRPr="0013311A" w:rsidRDefault="0085277B" w:rsidP="00700224">
            <w:pPr>
              <w:spacing w:before="60" w:after="60"/>
              <w:jc w:val="left"/>
              <w:rPr>
                <w:rFonts w:ascii="Arial" w:hAnsi="Arial" w:cs="Arial"/>
                <w:sz w:val="16"/>
                <w:szCs w:val="16"/>
                <w:lang w:eastAsia="en-NZ"/>
              </w:rPr>
            </w:pPr>
            <w:r w:rsidRPr="0013311A">
              <w:rPr>
                <w:rFonts w:ascii="Arial" w:hAnsi="Arial" w:cs="Arial"/>
                <w:sz w:val="16"/>
                <w:szCs w:val="16"/>
                <w:lang w:eastAsia="en-NZ"/>
              </w:rPr>
              <w:t> </w:t>
            </w:r>
          </w:p>
        </w:tc>
        <w:tc>
          <w:tcPr>
            <w:tcW w:w="1028" w:type="dxa"/>
            <w:tcBorders>
              <w:top w:val="single" w:sz="8" w:space="0" w:color="auto"/>
              <w:left w:val="nil"/>
              <w:bottom w:val="single" w:sz="8" w:space="0" w:color="auto"/>
              <w:right w:val="single" w:sz="8" w:space="0" w:color="auto"/>
            </w:tcBorders>
            <w:shd w:val="clear" w:color="auto" w:fill="595959" w:themeFill="text1" w:themeFillTint="A6"/>
            <w:hideMark/>
          </w:tcPr>
          <w:p w:rsidR="0085277B" w:rsidRPr="0013311A" w:rsidRDefault="0085277B" w:rsidP="00700224">
            <w:pPr>
              <w:spacing w:before="60" w:after="60"/>
              <w:jc w:val="left"/>
              <w:rPr>
                <w:rFonts w:ascii="Arial" w:hAnsi="Arial" w:cs="Arial"/>
                <w:sz w:val="16"/>
                <w:szCs w:val="16"/>
                <w:lang w:eastAsia="en-NZ"/>
              </w:rPr>
            </w:pPr>
            <w:r w:rsidRPr="0013311A">
              <w:rPr>
                <w:rFonts w:ascii="Arial" w:hAnsi="Arial" w:cs="Arial"/>
                <w:sz w:val="16"/>
                <w:szCs w:val="16"/>
                <w:lang w:eastAsia="en-NZ"/>
              </w:rPr>
              <w:t> </w:t>
            </w:r>
          </w:p>
        </w:tc>
        <w:tc>
          <w:tcPr>
            <w:tcW w:w="983" w:type="dxa"/>
            <w:tcBorders>
              <w:top w:val="single" w:sz="8" w:space="0" w:color="auto"/>
              <w:left w:val="nil"/>
              <w:bottom w:val="single" w:sz="8" w:space="0" w:color="auto"/>
              <w:right w:val="single" w:sz="8" w:space="0" w:color="auto"/>
            </w:tcBorders>
            <w:shd w:val="clear" w:color="auto" w:fill="595959" w:themeFill="text1" w:themeFillTint="A6"/>
            <w:hideMark/>
          </w:tcPr>
          <w:p w:rsidR="0085277B" w:rsidRPr="0013311A" w:rsidRDefault="0085277B" w:rsidP="00700224">
            <w:pPr>
              <w:spacing w:before="60" w:after="60"/>
              <w:jc w:val="left"/>
              <w:rPr>
                <w:rFonts w:ascii="Arial" w:hAnsi="Arial" w:cs="Arial"/>
                <w:sz w:val="16"/>
                <w:szCs w:val="16"/>
                <w:lang w:eastAsia="en-NZ"/>
              </w:rPr>
            </w:pPr>
            <w:r w:rsidRPr="0013311A">
              <w:rPr>
                <w:rFonts w:ascii="Arial" w:hAnsi="Arial" w:cs="Arial"/>
                <w:sz w:val="16"/>
                <w:szCs w:val="16"/>
                <w:lang w:eastAsia="en-NZ"/>
              </w:rPr>
              <w:t> </w:t>
            </w:r>
          </w:p>
        </w:tc>
        <w:tc>
          <w:tcPr>
            <w:tcW w:w="1107" w:type="dxa"/>
            <w:tcBorders>
              <w:top w:val="single" w:sz="8" w:space="0" w:color="auto"/>
              <w:left w:val="nil"/>
              <w:bottom w:val="single" w:sz="8" w:space="0" w:color="auto"/>
              <w:right w:val="single" w:sz="8" w:space="0" w:color="auto"/>
            </w:tcBorders>
            <w:shd w:val="clear" w:color="auto" w:fill="595959" w:themeFill="text1" w:themeFillTint="A6"/>
            <w:hideMark/>
          </w:tcPr>
          <w:p w:rsidR="0085277B" w:rsidRPr="0013311A" w:rsidRDefault="0085277B" w:rsidP="00700224">
            <w:pPr>
              <w:spacing w:before="60" w:after="60"/>
              <w:jc w:val="left"/>
              <w:rPr>
                <w:rFonts w:ascii="Arial" w:hAnsi="Arial" w:cs="Arial"/>
                <w:sz w:val="16"/>
                <w:szCs w:val="16"/>
                <w:lang w:eastAsia="en-NZ"/>
              </w:rPr>
            </w:pPr>
            <w:r w:rsidRPr="0013311A">
              <w:rPr>
                <w:rFonts w:ascii="Arial" w:hAnsi="Arial" w:cs="Arial"/>
                <w:sz w:val="16"/>
                <w:szCs w:val="16"/>
                <w:lang w:eastAsia="en-NZ"/>
              </w:rPr>
              <w:t> </w:t>
            </w:r>
          </w:p>
        </w:tc>
        <w:tc>
          <w:tcPr>
            <w:tcW w:w="993" w:type="dxa"/>
            <w:tcBorders>
              <w:top w:val="single" w:sz="8" w:space="0" w:color="auto"/>
              <w:left w:val="nil"/>
              <w:bottom w:val="single" w:sz="8" w:space="0" w:color="auto"/>
              <w:right w:val="single" w:sz="8" w:space="0" w:color="auto"/>
            </w:tcBorders>
            <w:shd w:val="clear" w:color="auto" w:fill="595959" w:themeFill="text1" w:themeFillTint="A6"/>
            <w:hideMark/>
          </w:tcPr>
          <w:p w:rsidR="0085277B" w:rsidRPr="0013311A" w:rsidRDefault="0085277B" w:rsidP="00700224">
            <w:pPr>
              <w:spacing w:before="60" w:after="60"/>
              <w:jc w:val="left"/>
              <w:rPr>
                <w:rFonts w:ascii="Arial" w:hAnsi="Arial" w:cs="Arial"/>
                <w:sz w:val="16"/>
                <w:szCs w:val="16"/>
                <w:lang w:eastAsia="en-NZ"/>
              </w:rPr>
            </w:pPr>
            <w:r w:rsidRPr="0013311A">
              <w:rPr>
                <w:rFonts w:ascii="Arial" w:hAnsi="Arial" w:cs="Arial"/>
                <w:sz w:val="16"/>
                <w:szCs w:val="16"/>
                <w:lang w:eastAsia="en-NZ"/>
              </w:rPr>
              <w:t> </w:t>
            </w:r>
          </w:p>
        </w:tc>
      </w:tr>
      <w:tr w:rsidR="005A3D15" w:rsidRPr="00D01DD3" w:rsidTr="00EE0B09">
        <w:trPr>
          <w:trHeight w:val="249"/>
        </w:trPr>
        <w:tc>
          <w:tcPr>
            <w:tcW w:w="1527" w:type="dxa"/>
            <w:tcBorders>
              <w:top w:val="nil"/>
              <w:left w:val="single" w:sz="8" w:space="0" w:color="auto"/>
              <w:bottom w:val="single" w:sz="8" w:space="0" w:color="auto"/>
              <w:right w:val="single" w:sz="8" w:space="0" w:color="auto"/>
            </w:tcBorders>
            <w:shd w:val="clear" w:color="auto" w:fill="auto"/>
            <w:hideMark/>
          </w:tcPr>
          <w:p w:rsidR="005A3D15" w:rsidRPr="0013311A" w:rsidRDefault="005A3D15" w:rsidP="00700224">
            <w:pPr>
              <w:spacing w:before="60" w:after="60"/>
              <w:jc w:val="left"/>
              <w:rPr>
                <w:rFonts w:ascii="Arial" w:hAnsi="Arial" w:cs="Arial"/>
                <w:sz w:val="16"/>
                <w:szCs w:val="16"/>
                <w:lang w:eastAsia="en-NZ"/>
              </w:rPr>
            </w:pPr>
            <w:r w:rsidRPr="0013311A">
              <w:rPr>
                <w:rFonts w:ascii="Arial" w:hAnsi="Arial" w:cs="Arial"/>
                <w:sz w:val="16"/>
                <w:szCs w:val="16"/>
                <w:lang w:eastAsia="en-NZ"/>
              </w:rPr>
              <w:t>Coal – bituminous</w:t>
            </w:r>
          </w:p>
        </w:tc>
        <w:tc>
          <w:tcPr>
            <w:tcW w:w="1276" w:type="dxa"/>
            <w:tcBorders>
              <w:top w:val="nil"/>
              <w:left w:val="nil"/>
              <w:bottom w:val="single" w:sz="8" w:space="0" w:color="auto"/>
              <w:right w:val="single" w:sz="8" w:space="0" w:color="auto"/>
            </w:tcBorders>
            <w:shd w:val="clear" w:color="auto" w:fill="auto"/>
            <w:hideMark/>
          </w:tcPr>
          <w:p w:rsidR="005A3D15" w:rsidRPr="0013311A" w:rsidRDefault="005A3D15" w:rsidP="0032465A">
            <w:pPr>
              <w:spacing w:before="60" w:after="60"/>
              <w:jc w:val="left"/>
              <w:rPr>
                <w:rFonts w:ascii="Arial" w:hAnsi="Arial" w:cs="Arial"/>
                <w:sz w:val="16"/>
                <w:szCs w:val="16"/>
                <w:lang w:eastAsia="en-NZ"/>
              </w:rPr>
            </w:pPr>
            <w:r w:rsidRPr="0013311A">
              <w:rPr>
                <w:rFonts w:ascii="Arial" w:hAnsi="Arial" w:cs="Arial"/>
                <w:sz w:val="16"/>
                <w:szCs w:val="16"/>
                <w:lang w:eastAsia="en-NZ"/>
              </w:rPr>
              <w:t>Residential</w:t>
            </w:r>
          </w:p>
        </w:tc>
        <w:tc>
          <w:tcPr>
            <w:tcW w:w="567" w:type="dxa"/>
            <w:tcBorders>
              <w:top w:val="nil"/>
              <w:left w:val="nil"/>
              <w:bottom w:val="single" w:sz="8" w:space="0" w:color="auto"/>
              <w:right w:val="single" w:sz="8" w:space="0" w:color="auto"/>
            </w:tcBorders>
            <w:shd w:val="clear" w:color="auto" w:fill="auto"/>
            <w:hideMark/>
          </w:tcPr>
          <w:p w:rsidR="005A3D15" w:rsidRPr="0013311A" w:rsidRDefault="005A3D15" w:rsidP="0032465A">
            <w:pPr>
              <w:spacing w:before="60" w:after="60"/>
              <w:jc w:val="left"/>
              <w:rPr>
                <w:rFonts w:ascii="Arial" w:hAnsi="Arial" w:cs="Arial"/>
                <w:sz w:val="16"/>
                <w:szCs w:val="16"/>
                <w:lang w:eastAsia="en-NZ"/>
              </w:rPr>
            </w:pPr>
            <w:r w:rsidRPr="0013311A">
              <w:rPr>
                <w:rFonts w:ascii="Arial" w:hAnsi="Arial" w:cs="Arial"/>
                <w:sz w:val="16"/>
                <w:szCs w:val="16"/>
                <w:lang w:eastAsia="en-NZ"/>
              </w:rPr>
              <w:t> Kg</w:t>
            </w:r>
          </w:p>
        </w:tc>
        <w:tc>
          <w:tcPr>
            <w:tcW w:w="992" w:type="dxa"/>
            <w:tcBorders>
              <w:top w:val="nil"/>
              <w:left w:val="nil"/>
              <w:bottom w:val="single" w:sz="8" w:space="0" w:color="auto"/>
              <w:right w:val="nil"/>
            </w:tcBorders>
            <w:shd w:val="clear" w:color="auto" w:fill="auto"/>
            <w:noWrap/>
            <w:vAlign w:val="bottom"/>
          </w:tcPr>
          <w:p w:rsidR="005A3D15" w:rsidRPr="0013311A" w:rsidRDefault="005A3D15" w:rsidP="00700224">
            <w:pPr>
              <w:spacing w:before="60" w:after="60"/>
              <w:jc w:val="right"/>
              <w:rPr>
                <w:rFonts w:ascii="Arial" w:hAnsi="Arial" w:cs="Arial"/>
                <w:sz w:val="16"/>
                <w:szCs w:val="16"/>
              </w:rPr>
            </w:pPr>
            <w:r w:rsidRPr="0013311A">
              <w:rPr>
                <w:rFonts w:ascii="Arial" w:hAnsi="Arial" w:cs="Arial"/>
                <w:sz w:val="16"/>
                <w:szCs w:val="16"/>
              </w:rPr>
              <w:t>2.89</w:t>
            </w:r>
          </w:p>
        </w:tc>
        <w:tc>
          <w:tcPr>
            <w:tcW w:w="1028" w:type="dxa"/>
            <w:tcBorders>
              <w:top w:val="nil"/>
              <w:left w:val="single" w:sz="8" w:space="0" w:color="auto"/>
              <w:bottom w:val="single" w:sz="8" w:space="0" w:color="auto"/>
              <w:right w:val="nil"/>
            </w:tcBorders>
            <w:shd w:val="clear" w:color="auto" w:fill="auto"/>
            <w:noWrap/>
            <w:vAlign w:val="bottom"/>
          </w:tcPr>
          <w:p w:rsidR="005A3D15" w:rsidRPr="0013311A" w:rsidRDefault="005A3D15" w:rsidP="00700224">
            <w:pPr>
              <w:spacing w:before="60" w:after="60"/>
              <w:jc w:val="right"/>
              <w:rPr>
                <w:rFonts w:ascii="Arial" w:hAnsi="Arial" w:cs="Arial"/>
                <w:sz w:val="16"/>
                <w:szCs w:val="16"/>
              </w:rPr>
            </w:pPr>
            <w:r w:rsidRPr="0013311A">
              <w:rPr>
                <w:rFonts w:ascii="Arial" w:hAnsi="Arial" w:cs="Arial"/>
                <w:sz w:val="16"/>
                <w:szCs w:val="16"/>
              </w:rPr>
              <w:t>2.66</w:t>
            </w:r>
          </w:p>
        </w:tc>
        <w:tc>
          <w:tcPr>
            <w:tcW w:w="983" w:type="dxa"/>
            <w:tcBorders>
              <w:top w:val="nil"/>
              <w:left w:val="single" w:sz="8" w:space="0" w:color="auto"/>
              <w:bottom w:val="single" w:sz="8" w:space="0" w:color="auto"/>
              <w:right w:val="single" w:sz="8" w:space="0" w:color="auto"/>
            </w:tcBorders>
            <w:shd w:val="clear" w:color="auto" w:fill="auto"/>
            <w:noWrap/>
            <w:vAlign w:val="bottom"/>
          </w:tcPr>
          <w:p w:rsidR="005A3D15" w:rsidRPr="0013311A" w:rsidRDefault="005A3D15" w:rsidP="00700224">
            <w:pPr>
              <w:spacing w:before="60" w:after="60"/>
              <w:jc w:val="right"/>
              <w:rPr>
                <w:rFonts w:ascii="Arial" w:hAnsi="Arial" w:cs="Arial"/>
                <w:sz w:val="16"/>
                <w:szCs w:val="16"/>
              </w:rPr>
            </w:pPr>
            <w:r w:rsidRPr="0013311A">
              <w:rPr>
                <w:rFonts w:ascii="Arial" w:hAnsi="Arial" w:cs="Arial"/>
                <w:sz w:val="16"/>
                <w:szCs w:val="16"/>
              </w:rPr>
              <w:t>0.213</w:t>
            </w:r>
          </w:p>
        </w:tc>
        <w:tc>
          <w:tcPr>
            <w:tcW w:w="1107" w:type="dxa"/>
            <w:tcBorders>
              <w:top w:val="nil"/>
              <w:left w:val="nil"/>
              <w:bottom w:val="single" w:sz="8" w:space="0" w:color="auto"/>
              <w:right w:val="nil"/>
            </w:tcBorders>
            <w:shd w:val="clear" w:color="auto" w:fill="auto"/>
            <w:noWrap/>
            <w:vAlign w:val="bottom"/>
          </w:tcPr>
          <w:p w:rsidR="005A3D15" w:rsidRPr="0013311A" w:rsidRDefault="005A3D15" w:rsidP="00700224">
            <w:pPr>
              <w:spacing w:before="60" w:after="60"/>
              <w:jc w:val="right"/>
              <w:rPr>
                <w:rFonts w:ascii="Arial" w:hAnsi="Arial" w:cs="Arial"/>
                <w:sz w:val="16"/>
                <w:szCs w:val="16"/>
              </w:rPr>
            </w:pPr>
            <w:r w:rsidRPr="0013311A">
              <w:rPr>
                <w:rFonts w:ascii="Arial" w:hAnsi="Arial" w:cs="Arial"/>
                <w:sz w:val="16"/>
                <w:szCs w:val="16"/>
              </w:rPr>
              <w:t>0.0127</w:t>
            </w:r>
          </w:p>
        </w:tc>
        <w:tc>
          <w:tcPr>
            <w:tcW w:w="993" w:type="dxa"/>
            <w:tcBorders>
              <w:top w:val="nil"/>
              <w:left w:val="single" w:sz="8" w:space="0" w:color="auto"/>
              <w:bottom w:val="single" w:sz="8" w:space="0" w:color="auto"/>
              <w:right w:val="single" w:sz="8" w:space="0" w:color="auto"/>
            </w:tcBorders>
            <w:shd w:val="clear" w:color="auto" w:fill="auto"/>
            <w:noWrap/>
            <w:vAlign w:val="bottom"/>
          </w:tcPr>
          <w:p w:rsidR="005A3D15" w:rsidRPr="0013311A" w:rsidRDefault="005A3D15" w:rsidP="00700224">
            <w:pPr>
              <w:spacing w:before="60" w:after="60"/>
              <w:jc w:val="right"/>
              <w:rPr>
                <w:rFonts w:ascii="Arial" w:hAnsi="Arial" w:cs="Arial"/>
                <w:sz w:val="16"/>
                <w:szCs w:val="16"/>
              </w:rPr>
            </w:pPr>
            <w:r w:rsidRPr="0013311A">
              <w:rPr>
                <w:rFonts w:ascii="Arial" w:hAnsi="Arial" w:cs="Arial"/>
                <w:sz w:val="16"/>
                <w:szCs w:val="16"/>
              </w:rPr>
              <w:t>4.9%</w:t>
            </w:r>
          </w:p>
        </w:tc>
      </w:tr>
      <w:tr w:rsidR="005A3D15" w:rsidRPr="00D01DD3" w:rsidTr="00EE0B09">
        <w:trPr>
          <w:trHeight w:val="249"/>
        </w:trPr>
        <w:tc>
          <w:tcPr>
            <w:tcW w:w="1527" w:type="dxa"/>
            <w:tcBorders>
              <w:top w:val="nil"/>
              <w:left w:val="single" w:sz="8" w:space="0" w:color="auto"/>
              <w:bottom w:val="single" w:sz="8" w:space="0" w:color="auto"/>
              <w:right w:val="single" w:sz="8" w:space="0" w:color="auto"/>
            </w:tcBorders>
            <w:shd w:val="clear" w:color="auto" w:fill="auto"/>
            <w:hideMark/>
          </w:tcPr>
          <w:p w:rsidR="005A3D15" w:rsidRPr="0013311A" w:rsidRDefault="005A3D15" w:rsidP="00700224">
            <w:pPr>
              <w:spacing w:before="60" w:after="60"/>
              <w:jc w:val="left"/>
              <w:rPr>
                <w:rFonts w:ascii="Arial" w:hAnsi="Arial" w:cs="Arial"/>
                <w:sz w:val="16"/>
                <w:szCs w:val="16"/>
                <w:lang w:eastAsia="en-NZ"/>
              </w:rPr>
            </w:pPr>
            <w:r w:rsidRPr="0013311A">
              <w:rPr>
                <w:rFonts w:ascii="Arial" w:hAnsi="Arial" w:cs="Arial"/>
                <w:sz w:val="16"/>
                <w:szCs w:val="16"/>
                <w:lang w:eastAsia="en-NZ"/>
              </w:rPr>
              <w:t>Coal – sub-bituminous</w:t>
            </w:r>
          </w:p>
        </w:tc>
        <w:tc>
          <w:tcPr>
            <w:tcW w:w="1276" w:type="dxa"/>
            <w:tcBorders>
              <w:top w:val="nil"/>
              <w:left w:val="nil"/>
              <w:bottom w:val="single" w:sz="8" w:space="0" w:color="auto"/>
              <w:right w:val="single" w:sz="8" w:space="0" w:color="auto"/>
            </w:tcBorders>
            <w:shd w:val="clear" w:color="auto" w:fill="auto"/>
            <w:hideMark/>
          </w:tcPr>
          <w:p w:rsidR="005A3D15" w:rsidRPr="0013311A" w:rsidRDefault="005A3D15" w:rsidP="0032465A">
            <w:pPr>
              <w:spacing w:before="60" w:after="60"/>
              <w:jc w:val="left"/>
              <w:rPr>
                <w:rFonts w:ascii="Arial" w:hAnsi="Arial" w:cs="Arial"/>
                <w:sz w:val="16"/>
                <w:szCs w:val="16"/>
                <w:lang w:eastAsia="en-NZ"/>
              </w:rPr>
            </w:pPr>
            <w:r w:rsidRPr="0013311A">
              <w:rPr>
                <w:rFonts w:ascii="Arial" w:hAnsi="Arial" w:cs="Arial"/>
                <w:sz w:val="16"/>
                <w:szCs w:val="16"/>
                <w:lang w:eastAsia="en-NZ"/>
              </w:rPr>
              <w:t>Residential</w:t>
            </w:r>
          </w:p>
        </w:tc>
        <w:tc>
          <w:tcPr>
            <w:tcW w:w="567" w:type="dxa"/>
            <w:tcBorders>
              <w:top w:val="nil"/>
              <w:left w:val="nil"/>
              <w:bottom w:val="single" w:sz="8" w:space="0" w:color="auto"/>
              <w:right w:val="single" w:sz="8" w:space="0" w:color="auto"/>
            </w:tcBorders>
            <w:shd w:val="clear" w:color="auto" w:fill="auto"/>
            <w:hideMark/>
          </w:tcPr>
          <w:p w:rsidR="005A3D15" w:rsidRPr="0013311A" w:rsidRDefault="005A3D15" w:rsidP="0032465A">
            <w:pPr>
              <w:spacing w:before="60" w:after="60"/>
              <w:jc w:val="left"/>
              <w:rPr>
                <w:rFonts w:ascii="Arial" w:hAnsi="Arial" w:cs="Arial"/>
                <w:sz w:val="16"/>
                <w:szCs w:val="16"/>
                <w:lang w:eastAsia="en-NZ"/>
              </w:rPr>
            </w:pPr>
            <w:r w:rsidRPr="0013311A">
              <w:rPr>
                <w:rFonts w:ascii="Arial" w:hAnsi="Arial" w:cs="Arial"/>
                <w:sz w:val="16"/>
                <w:szCs w:val="16"/>
                <w:lang w:eastAsia="en-NZ"/>
              </w:rPr>
              <w:t>Kg</w:t>
            </w:r>
          </w:p>
        </w:tc>
        <w:tc>
          <w:tcPr>
            <w:tcW w:w="992" w:type="dxa"/>
            <w:tcBorders>
              <w:top w:val="nil"/>
              <w:left w:val="nil"/>
              <w:bottom w:val="single" w:sz="8" w:space="0" w:color="auto"/>
              <w:right w:val="nil"/>
            </w:tcBorders>
            <w:shd w:val="clear" w:color="auto" w:fill="auto"/>
            <w:noWrap/>
            <w:vAlign w:val="bottom"/>
          </w:tcPr>
          <w:p w:rsidR="005A3D15" w:rsidRPr="0013311A" w:rsidRDefault="005A3D15" w:rsidP="00700224">
            <w:pPr>
              <w:spacing w:before="60" w:after="60"/>
              <w:jc w:val="right"/>
              <w:rPr>
                <w:rFonts w:ascii="Arial" w:hAnsi="Arial" w:cs="Arial"/>
                <w:sz w:val="16"/>
                <w:szCs w:val="16"/>
              </w:rPr>
            </w:pPr>
            <w:r w:rsidRPr="0013311A">
              <w:rPr>
                <w:rFonts w:ascii="Arial" w:hAnsi="Arial" w:cs="Arial"/>
                <w:sz w:val="16"/>
                <w:szCs w:val="16"/>
              </w:rPr>
              <w:t>2.15</w:t>
            </w:r>
          </w:p>
        </w:tc>
        <w:tc>
          <w:tcPr>
            <w:tcW w:w="1028" w:type="dxa"/>
            <w:tcBorders>
              <w:top w:val="nil"/>
              <w:left w:val="single" w:sz="8" w:space="0" w:color="auto"/>
              <w:bottom w:val="single" w:sz="8" w:space="0" w:color="auto"/>
              <w:right w:val="nil"/>
            </w:tcBorders>
            <w:shd w:val="clear" w:color="auto" w:fill="auto"/>
            <w:noWrap/>
            <w:vAlign w:val="bottom"/>
          </w:tcPr>
          <w:p w:rsidR="005A3D15" w:rsidRPr="0013311A" w:rsidRDefault="005A3D15" w:rsidP="00700224">
            <w:pPr>
              <w:spacing w:before="60" w:after="60"/>
              <w:jc w:val="right"/>
              <w:rPr>
                <w:rFonts w:ascii="Arial" w:hAnsi="Arial" w:cs="Arial"/>
                <w:sz w:val="16"/>
                <w:szCs w:val="16"/>
              </w:rPr>
            </w:pPr>
            <w:r w:rsidRPr="0013311A">
              <w:rPr>
                <w:rFonts w:ascii="Arial" w:hAnsi="Arial" w:cs="Arial"/>
                <w:sz w:val="16"/>
                <w:szCs w:val="16"/>
              </w:rPr>
              <w:t>1.99</w:t>
            </w:r>
          </w:p>
        </w:tc>
        <w:tc>
          <w:tcPr>
            <w:tcW w:w="983" w:type="dxa"/>
            <w:tcBorders>
              <w:top w:val="nil"/>
              <w:left w:val="single" w:sz="8" w:space="0" w:color="auto"/>
              <w:bottom w:val="single" w:sz="8" w:space="0" w:color="auto"/>
              <w:right w:val="single" w:sz="8" w:space="0" w:color="auto"/>
            </w:tcBorders>
            <w:shd w:val="clear" w:color="auto" w:fill="auto"/>
            <w:noWrap/>
            <w:vAlign w:val="bottom"/>
          </w:tcPr>
          <w:p w:rsidR="005A3D15" w:rsidRPr="0013311A" w:rsidRDefault="005A3D15" w:rsidP="00700224">
            <w:pPr>
              <w:spacing w:before="60" w:after="60"/>
              <w:jc w:val="right"/>
              <w:rPr>
                <w:rFonts w:ascii="Arial" w:hAnsi="Arial" w:cs="Arial"/>
                <w:sz w:val="16"/>
                <w:szCs w:val="16"/>
              </w:rPr>
            </w:pPr>
            <w:r w:rsidRPr="0013311A">
              <w:rPr>
                <w:rFonts w:ascii="Arial" w:hAnsi="Arial" w:cs="Arial"/>
                <w:sz w:val="16"/>
                <w:szCs w:val="16"/>
              </w:rPr>
              <w:t>0.154</w:t>
            </w:r>
          </w:p>
        </w:tc>
        <w:tc>
          <w:tcPr>
            <w:tcW w:w="1107" w:type="dxa"/>
            <w:tcBorders>
              <w:top w:val="nil"/>
              <w:left w:val="nil"/>
              <w:bottom w:val="single" w:sz="8" w:space="0" w:color="auto"/>
              <w:right w:val="nil"/>
            </w:tcBorders>
            <w:shd w:val="clear" w:color="auto" w:fill="auto"/>
            <w:noWrap/>
            <w:vAlign w:val="bottom"/>
          </w:tcPr>
          <w:p w:rsidR="005A3D15" w:rsidRPr="0013311A" w:rsidRDefault="005A3D15" w:rsidP="00700224">
            <w:pPr>
              <w:spacing w:before="60" w:after="60"/>
              <w:jc w:val="right"/>
              <w:rPr>
                <w:rFonts w:ascii="Arial" w:hAnsi="Arial" w:cs="Arial"/>
                <w:sz w:val="16"/>
                <w:szCs w:val="16"/>
              </w:rPr>
            </w:pPr>
            <w:r w:rsidRPr="0013311A">
              <w:rPr>
                <w:rFonts w:ascii="Arial" w:hAnsi="Arial" w:cs="Arial"/>
                <w:sz w:val="16"/>
                <w:szCs w:val="16"/>
              </w:rPr>
              <w:t>0.00917</w:t>
            </w:r>
          </w:p>
        </w:tc>
        <w:tc>
          <w:tcPr>
            <w:tcW w:w="993" w:type="dxa"/>
            <w:tcBorders>
              <w:top w:val="nil"/>
              <w:left w:val="single" w:sz="8" w:space="0" w:color="auto"/>
              <w:bottom w:val="single" w:sz="8" w:space="0" w:color="auto"/>
              <w:right w:val="single" w:sz="8" w:space="0" w:color="auto"/>
            </w:tcBorders>
            <w:shd w:val="clear" w:color="auto" w:fill="auto"/>
            <w:noWrap/>
            <w:vAlign w:val="bottom"/>
          </w:tcPr>
          <w:p w:rsidR="005A3D15" w:rsidRPr="0013311A" w:rsidRDefault="005A3D15" w:rsidP="00700224">
            <w:pPr>
              <w:spacing w:before="60" w:after="60"/>
              <w:jc w:val="right"/>
              <w:rPr>
                <w:rFonts w:ascii="Arial" w:hAnsi="Arial" w:cs="Arial"/>
                <w:sz w:val="16"/>
                <w:szCs w:val="16"/>
              </w:rPr>
            </w:pPr>
            <w:r w:rsidRPr="0013311A">
              <w:rPr>
                <w:rFonts w:ascii="Arial" w:hAnsi="Arial" w:cs="Arial"/>
                <w:sz w:val="16"/>
                <w:szCs w:val="16"/>
              </w:rPr>
              <w:t>4.8%</w:t>
            </w:r>
          </w:p>
        </w:tc>
      </w:tr>
      <w:tr w:rsidR="005A3D15" w:rsidRPr="00D01DD3" w:rsidTr="00EE0B09">
        <w:trPr>
          <w:trHeight w:val="249"/>
        </w:trPr>
        <w:tc>
          <w:tcPr>
            <w:tcW w:w="1527" w:type="dxa"/>
            <w:tcBorders>
              <w:top w:val="nil"/>
              <w:left w:val="single" w:sz="8" w:space="0" w:color="auto"/>
              <w:bottom w:val="single" w:sz="8" w:space="0" w:color="auto"/>
              <w:right w:val="single" w:sz="8" w:space="0" w:color="auto"/>
            </w:tcBorders>
            <w:shd w:val="clear" w:color="auto" w:fill="auto"/>
            <w:hideMark/>
          </w:tcPr>
          <w:p w:rsidR="005A3D15" w:rsidRPr="0013311A" w:rsidRDefault="005A3D15" w:rsidP="00700224">
            <w:pPr>
              <w:spacing w:before="60" w:after="60"/>
              <w:jc w:val="left"/>
              <w:rPr>
                <w:rFonts w:ascii="Arial" w:hAnsi="Arial" w:cs="Arial"/>
                <w:sz w:val="16"/>
                <w:szCs w:val="16"/>
                <w:lang w:eastAsia="en-NZ"/>
              </w:rPr>
            </w:pPr>
            <w:r w:rsidRPr="0013311A">
              <w:rPr>
                <w:rFonts w:ascii="Arial" w:hAnsi="Arial" w:cs="Arial"/>
                <w:sz w:val="16"/>
                <w:szCs w:val="16"/>
                <w:lang w:eastAsia="en-NZ"/>
              </w:rPr>
              <w:t>Coal – lignite</w:t>
            </w:r>
          </w:p>
        </w:tc>
        <w:tc>
          <w:tcPr>
            <w:tcW w:w="1276" w:type="dxa"/>
            <w:tcBorders>
              <w:top w:val="nil"/>
              <w:left w:val="nil"/>
              <w:bottom w:val="single" w:sz="8" w:space="0" w:color="auto"/>
              <w:right w:val="single" w:sz="8" w:space="0" w:color="auto"/>
            </w:tcBorders>
            <w:shd w:val="clear" w:color="auto" w:fill="auto"/>
            <w:hideMark/>
          </w:tcPr>
          <w:p w:rsidR="005A3D15" w:rsidRPr="0013311A" w:rsidRDefault="005A3D15" w:rsidP="0032465A">
            <w:pPr>
              <w:spacing w:before="60" w:after="60"/>
              <w:jc w:val="left"/>
              <w:rPr>
                <w:rFonts w:ascii="Arial" w:hAnsi="Arial" w:cs="Arial"/>
                <w:sz w:val="16"/>
                <w:szCs w:val="16"/>
                <w:lang w:eastAsia="en-NZ"/>
              </w:rPr>
            </w:pPr>
            <w:r w:rsidRPr="0013311A">
              <w:rPr>
                <w:rFonts w:ascii="Arial" w:hAnsi="Arial" w:cs="Arial"/>
                <w:sz w:val="16"/>
                <w:szCs w:val="16"/>
                <w:lang w:eastAsia="en-NZ"/>
              </w:rPr>
              <w:t>Residential</w:t>
            </w:r>
          </w:p>
        </w:tc>
        <w:tc>
          <w:tcPr>
            <w:tcW w:w="567" w:type="dxa"/>
            <w:tcBorders>
              <w:top w:val="nil"/>
              <w:left w:val="nil"/>
              <w:bottom w:val="single" w:sz="8" w:space="0" w:color="auto"/>
              <w:right w:val="single" w:sz="8" w:space="0" w:color="auto"/>
            </w:tcBorders>
            <w:shd w:val="clear" w:color="auto" w:fill="auto"/>
            <w:hideMark/>
          </w:tcPr>
          <w:p w:rsidR="005A3D15" w:rsidRPr="0013311A" w:rsidRDefault="005A3D15" w:rsidP="0032465A">
            <w:pPr>
              <w:spacing w:before="60" w:after="60"/>
              <w:jc w:val="left"/>
              <w:rPr>
                <w:rFonts w:ascii="Arial" w:hAnsi="Arial" w:cs="Arial"/>
                <w:sz w:val="16"/>
                <w:szCs w:val="16"/>
                <w:lang w:eastAsia="en-NZ"/>
              </w:rPr>
            </w:pPr>
            <w:r w:rsidRPr="0013311A">
              <w:rPr>
                <w:rFonts w:ascii="Arial" w:hAnsi="Arial" w:cs="Arial"/>
                <w:sz w:val="16"/>
                <w:szCs w:val="16"/>
                <w:lang w:eastAsia="en-NZ"/>
              </w:rPr>
              <w:t>Kg</w:t>
            </w:r>
          </w:p>
        </w:tc>
        <w:tc>
          <w:tcPr>
            <w:tcW w:w="992" w:type="dxa"/>
            <w:tcBorders>
              <w:top w:val="nil"/>
              <w:left w:val="nil"/>
              <w:bottom w:val="single" w:sz="8" w:space="0" w:color="auto"/>
              <w:right w:val="nil"/>
            </w:tcBorders>
            <w:shd w:val="clear" w:color="auto" w:fill="auto"/>
            <w:noWrap/>
            <w:vAlign w:val="bottom"/>
          </w:tcPr>
          <w:p w:rsidR="005A3D15" w:rsidRPr="0013311A" w:rsidRDefault="005A3D15" w:rsidP="00700224">
            <w:pPr>
              <w:spacing w:before="60" w:after="60"/>
              <w:jc w:val="right"/>
              <w:rPr>
                <w:rFonts w:ascii="Arial" w:hAnsi="Arial" w:cs="Arial"/>
                <w:sz w:val="16"/>
                <w:szCs w:val="16"/>
              </w:rPr>
            </w:pPr>
            <w:r w:rsidRPr="0013311A">
              <w:rPr>
                <w:rFonts w:ascii="Arial" w:hAnsi="Arial" w:cs="Arial"/>
                <w:sz w:val="16"/>
                <w:szCs w:val="16"/>
              </w:rPr>
              <w:t>1.54</w:t>
            </w:r>
          </w:p>
        </w:tc>
        <w:tc>
          <w:tcPr>
            <w:tcW w:w="1028" w:type="dxa"/>
            <w:tcBorders>
              <w:top w:val="nil"/>
              <w:left w:val="single" w:sz="8" w:space="0" w:color="auto"/>
              <w:bottom w:val="single" w:sz="8" w:space="0" w:color="auto"/>
              <w:right w:val="nil"/>
            </w:tcBorders>
            <w:shd w:val="clear" w:color="auto" w:fill="auto"/>
            <w:noWrap/>
            <w:vAlign w:val="bottom"/>
          </w:tcPr>
          <w:p w:rsidR="005A3D15" w:rsidRPr="0013311A" w:rsidRDefault="005A3D15" w:rsidP="00700224">
            <w:pPr>
              <w:spacing w:before="60" w:after="60"/>
              <w:jc w:val="right"/>
              <w:rPr>
                <w:rFonts w:ascii="Arial" w:hAnsi="Arial" w:cs="Arial"/>
                <w:sz w:val="16"/>
                <w:szCs w:val="16"/>
              </w:rPr>
            </w:pPr>
            <w:r w:rsidRPr="0013311A">
              <w:rPr>
                <w:rFonts w:ascii="Arial" w:hAnsi="Arial" w:cs="Arial"/>
                <w:sz w:val="16"/>
                <w:szCs w:val="16"/>
              </w:rPr>
              <w:t>1.42</w:t>
            </w:r>
          </w:p>
        </w:tc>
        <w:tc>
          <w:tcPr>
            <w:tcW w:w="983" w:type="dxa"/>
            <w:tcBorders>
              <w:top w:val="nil"/>
              <w:left w:val="single" w:sz="8" w:space="0" w:color="auto"/>
              <w:bottom w:val="single" w:sz="8" w:space="0" w:color="auto"/>
              <w:right w:val="single" w:sz="8" w:space="0" w:color="auto"/>
            </w:tcBorders>
            <w:shd w:val="clear" w:color="auto" w:fill="auto"/>
            <w:noWrap/>
            <w:vAlign w:val="bottom"/>
          </w:tcPr>
          <w:p w:rsidR="005A3D15" w:rsidRPr="0013311A" w:rsidRDefault="005A3D15" w:rsidP="00700224">
            <w:pPr>
              <w:spacing w:before="60" w:after="60"/>
              <w:jc w:val="right"/>
              <w:rPr>
                <w:rFonts w:ascii="Arial" w:hAnsi="Arial" w:cs="Arial"/>
                <w:sz w:val="16"/>
                <w:szCs w:val="16"/>
              </w:rPr>
            </w:pPr>
            <w:r w:rsidRPr="0013311A">
              <w:rPr>
                <w:rFonts w:ascii="Arial" w:hAnsi="Arial" w:cs="Arial"/>
                <w:sz w:val="16"/>
                <w:szCs w:val="16"/>
              </w:rPr>
              <w:t>0.109</w:t>
            </w:r>
          </w:p>
        </w:tc>
        <w:tc>
          <w:tcPr>
            <w:tcW w:w="1107" w:type="dxa"/>
            <w:tcBorders>
              <w:top w:val="nil"/>
              <w:left w:val="nil"/>
              <w:bottom w:val="single" w:sz="8" w:space="0" w:color="auto"/>
              <w:right w:val="nil"/>
            </w:tcBorders>
            <w:shd w:val="clear" w:color="auto" w:fill="auto"/>
            <w:noWrap/>
            <w:vAlign w:val="bottom"/>
          </w:tcPr>
          <w:p w:rsidR="005A3D15" w:rsidRPr="0013311A" w:rsidRDefault="005A3D15" w:rsidP="00700224">
            <w:pPr>
              <w:spacing w:before="60" w:after="60"/>
              <w:jc w:val="right"/>
              <w:rPr>
                <w:rFonts w:ascii="Arial" w:hAnsi="Arial" w:cs="Arial"/>
                <w:sz w:val="16"/>
                <w:szCs w:val="16"/>
              </w:rPr>
            </w:pPr>
            <w:r w:rsidRPr="0013311A">
              <w:rPr>
                <w:rFonts w:ascii="Arial" w:hAnsi="Arial" w:cs="Arial"/>
                <w:sz w:val="16"/>
                <w:szCs w:val="16"/>
              </w:rPr>
              <w:t>0.00648</w:t>
            </w:r>
          </w:p>
        </w:tc>
        <w:tc>
          <w:tcPr>
            <w:tcW w:w="993" w:type="dxa"/>
            <w:tcBorders>
              <w:top w:val="nil"/>
              <w:left w:val="single" w:sz="8" w:space="0" w:color="auto"/>
              <w:bottom w:val="single" w:sz="8" w:space="0" w:color="auto"/>
              <w:right w:val="single" w:sz="8" w:space="0" w:color="auto"/>
            </w:tcBorders>
            <w:shd w:val="clear" w:color="auto" w:fill="auto"/>
            <w:noWrap/>
            <w:vAlign w:val="bottom"/>
          </w:tcPr>
          <w:p w:rsidR="005A3D15" w:rsidRPr="0013311A" w:rsidRDefault="005A3D15" w:rsidP="00700224">
            <w:pPr>
              <w:spacing w:before="60" w:after="60"/>
              <w:jc w:val="right"/>
              <w:rPr>
                <w:rFonts w:ascii="Arial" w:hAnsi="Arial" w:cs="Arial"/>
                <w:sz w:val="16"/>
                <w:szCs w:val="16"/>
              </w:rPr>
            </w:pPr>
            <w:r w:rsidRPr="0013311A">
              <w:rPr>
                <w:rFonts w:ascii="Arial" w:hAnsi="Arial" w:cs="Arial"/>
                <w:sz w:val="16"/>
                <w:szCs w:val="16"/>
              </w:rPr>
              <w:t>4.8%</w:t>
            </w:r>
          </w:p>
        </w:tc>
      </w:tr>
      <w:tr w:rsidR="005A3D15" w:rsidRPr="00D01DD3" w:rsidTr="00EE0B09">
        <w:trPr>
          <w:trHeight w:val="249"/>
        </w:trPr>
        <w:tc>
          <w:tcPr>
            <w:tcW w:w="1527" w:type="dxa"/>
            <w:tcBorders>
              <w:top w:val="nil"/>
              <w:left w:val="single" w:sz="8" w:space="0" w:color="auto"/>
              <w:bottom w:val="single" w:sz="8" w:space="0" w:color="auto"/>
              <w:right w:val="single" w:sz="8" w:space="0" w:color="auto"/>
            </w:tcBorders>
            <w:shd w:val="clear" w:color="auto" w:fill="auto"/>
            <w:hideMark/>
          </w:tcPr>
          <w:p w:rsidR="005A3D15" w:rsidRPr="0013311A" w:rsidRDefault="005A3D15" w:rsidP="00700224">
            <w:pPr>
              <w:spacing w:before="60" w:after="60"/>
              <w:jc w:val="left"/>
              <w:rPr>
                <w:rFonts w:ascii="Arial" w:hAnsi="Arial" w:cs="Arial"/>
                <w:sz w:val="16"/>
                <w:szCs w:val="16"/>
                <w:lang w:eastAsia="en-NZ"/>
              </w:rPr>
            </w:pPr>
            <w:r w:rsidRPr="0013311A">
              <w:rPr>
                <w:rFonts w:ascii="Arial" w:hAnsi="Arial" w:cs="Arial"/>
                <w:sz w:val="16"/>
                <w:szCs w:val="16"/>
                <w:lang w:eastAsia="en-NZ"/>
              </w:rPr>
              <w:t>Coal – default*</w:t>
            </w:r>
          </w:p>
        </w:tc>
        <w:tc>
          <w:tcPr>
            <w:tcW w:w="1276" w:type="dxa"/>
            <w:tcBorders>
              <w:top w:val="nil"/>
              <w:left w:val="nil"/>
              <w:bottom w:val="single" w:sz="8" w:space="0" w:color="auto"/>
              <w:right w:val="single" w:sz="8" w:space="0" w:color="auto"/>
            </w:tcBorders>
            <w:shd w:val="clear" w:color="auto" w:fill="auto"/>
            <w:hideMark/>
          </w:tcPr>
          <w:p w:rsidR="005A3D15" w:rsidRPr="0013311A" w:rsidRDefault="005A3D15" w:rsidP="0032465A">
            <w:pPr>
              <w:spacing w:before="60" w:after="60"/>
              <w:jc w:val="left"/>
              <w:rPr>
                <w:rFonts w:ascii="Arial" w:hAnsi="Arial" w:cs="Arial"/>
                <w:sz w:val="16"/>
                <w:szCs w:val="16"/>
                <w:lang w:eastAsia="en-NZ"/>
              </w:rPr>
            </w:pPr>
            <w:r w:rsidRPr="0013311A">
              <w:rPr>
                <w:rFonts w:ascii="Arial" w:hAnsi="Arial" w:cs="Arial"/>
                <w:sz w:val="16"/>
                <w:szCs w:val="16"/>
                <w:lang w:eastAsia="en-NZ"/>
              </w:rPr>
              <w:t>Residential</w:t>
            </w:r>
          </w:p>
        </w:tc>
        <w:tc>
          <w:tcPr>
            <w:tcW w:w="567" w:type="dxa"/>
            <w:tcBorders>
              <w:top w:val="nil"/>
              <w:left w:val="nil"/>
              <w:bottom w:val="single" w:sz="8" w:space="0" w:color="auto"/>
              <w:right w:val="single" w:sz="8" w:space="0" w:color="auto"/>
            </w:tcBorders>
            <w:shd w:val="clear" w:color="auto" w:fill="auto"/>
            <w:hideMark/>
          </w:tcPr>
          <w:p w:rsidR="005A3D15" w:rsidRPr="0013311A" w:rsidRDefault="005A3D15" w:rsidP="0032465A">
            <w:pPr>
              <w:spacing w:before="60" w:after="60"/>
              <w:jc w:val="left"/>
              <w:rPr>
                <w:rFonts w:ascii="Arial" w:hAnsi="Arial" w:cs="Arial"/>
                <w:sz w:val="16"/>
                <w:szCs w:val="16"/>
                <w:lang w:eastAsia="en-NZ"/>
              </w:rPr>
            </w:pPr>
            <w:r w:rsidRPr="0013311A">
              <w:rPr>
                <w:rFonts w:ascii="Arial" w:hAnsi="Arial" w:cs="Arial"/>
                <w:sz w:val="16"/>
                <w:szCs w:val="16"/>
                <w:lang w:eastAsia="en-NZ"/>
              </w:rPr>
              <w:t>Kg</w:t>
            </w:r>
          </w:p>
        </w:tc>
        <w:tc>
          <w:tcPr>
            <w:tcW w:w="992" w:type="dxa"/>
            <w:tcBorders>
              <w:top w:val="nil"/>
              <w:left w:val="nil"/>
              <w:bottom w:val="single" w:sz="8" w:space="0" w:color="auto"/>
              <w:right w:val="nil"/>
            </w:tcBorders>
            <w:shd w:val="clear" w:color="auto" w:fill="auto"/>
            <w:noWrap/>
            <w:vAlign w:val="bottom"/>
          </w:tcPr>
          <w:p w:rsidR="005A3D15" w:rsidRPr="0013311A" w:rsidRDefault="005A3D15" w:rsidP="00700224">
            <w:pPr>
              <w:spacing w:before="60" w:after="60"/>
              <w:jc w:val="right"/>
              <w:rPr>
                <w:rFonts w:ascii="Arial" w:hAnsi="Arial" w:cs="Arial"/>
                <w:sz w:val="16"/>
                <w:szCs w:val="16"/>
              </w:rPr>
            </w:pPr>
            <w:r w:rsidRPr="0013311A">
              <w:rPr>
                <w:rFonts w:ascii="Arial" w:hAnsi="Arial" w:cs="Arial"/>
                <w:sz w:val="16"/>
                <w:szCs w:val="16"/>
              </w:rPr>
              <w:t>1.91</w:t>
            </w:r>
          </w:p>
        </w:tc>
        <w:tc>
          <w:tcPr>
            <w:tcW w:w="1028" w:type="dxa"/>
            <w:tcBorders>
              <w:top w:val="nil"/>
              <w:left w:val="single" w:sz="8" w:space="0" w:color="auto"/>
              <w:bottom w:val="single" w:sz="8" w:space="0" w:color="auto"/>
              <w:right w:val="nil"/>
            </w:tcBorders>
            <w:shd w:val="clear" w:color="auto" w:fill="auto"/>
            <w:noWrap/>
            <w:vAlign w:val="bottom"/>
          </w:tcPr>
          <w:p w:rsidR="005A3D15" w:rsidRPr="0013311A" w:rsidRDefault="005A3D15" w:rsidP="00700224">
            <w:pPr>
              <w:spacing w:before="60" w:after="60"/>
              <w:jc w:val="right"/>
              <w:rPr>
                <w:rFonts w:ascii="Arial" w:hAnsi="Arial" w:cs="Arial"/>
                <w:sz w:val="16"/>
                <w:szCs w:val="16"/>
              </w:rPr>
            </w:pPr>
            <w:r w:rsidRPr="0013311A">
              <w:rPr>
                <w:rFonts w:ascii="Arial" w:hAnsi="Arial" w:cs="Arial"/>
                <w:sz w:val="16"/>
                <w:szCs w:val="16"/>
              </w:rPr>
              <w:t>1.77</w:t>
            </w:r>
          </w:p>
        </w:tc>
        <w:tc>
          <w:tcPr>
            <w:tcW w:w="983" w:type="dxa"/>
            <w:tcBorders>
              <w:top w:val="nil"/>
              <w:left w:val="single" w:sz="8" w:space="0" w:color="auto"/>
              <w:bottom w:val="single" w:sz="8" w:space="0" w:color="auto"/>
              <w:right w:val="single" w:sz="8" w:space="0" w:color="auto"/>
            </w:tcBorders>
            <w:shd w:val="clear" w:color="auto" w:fill="auto"/>
            <w:noWrap/>
            <w:vAlign w:val="bottom"/>
          </w:tcPr>
          <w:p w:rsidR="005A3D15" w:rsidRPr="0013311A" w:rsidRDefault="005A3D15" w:rsidP="00700224">
            <w:pPr>
              <w:spacing w:before="60" w:after="60"/>
              <w:jc w:val="right"/>
              <w:rPr>
                <w:rFonts w:ascii="Arial" w:hAnsi="Arial" w:cs="Arial"/>
                <w:sz w:val="16"/>
                <w:szCs w:val="16"/>
              </w:rPr>
            </w:pPr>
            <w:r w:rsidRPr="0013311A">
              <w:rPr>
                <w:rFonts w:ascii="Arial" w:hAnsi="Arial" w:cs="Arial"/>
                <w:sz w:val="16"/>
                <w:szCs w:val="16"/>
              </w:rPr>
              <w:t>0.136</w:t>
            </w:r>
          </w:p>
        </w:tc>
        <w:tc>
          <w:tcPr>
            <w:tcW w:w="1107" w:type="dxa"/>
            <w:tcBorders>
              <w:top w:val="nil"/>
              <w:left w:val="nil"/>
              <w:bottom w:val="single" w:sz="8" w:space="0" w:color="auto"/>
              <w:right w:val="nil"/>
            </w:tcBorders>
            <w:shd w:val="clear" w:color="auto" w:fill="auto"/>
            <w:noWrap/>
            <w:vAlign w:val="bottom"/>
          </w:tcPr>
          <w:p w:rsidR="005A3D15" w:rsidRPr="0013311A" w:rsidRDefault="005A3D15" w:rsidP="00700224">
            <w:pPr>
              <w:spacing w:before="60" w:after="60"/>
              <w:jc w:val="right"/>
              <w:rPr>
                <w:rFonts w:ascii="Arial" w:hAnsi="Arial" w:cs="Arial"/>
                <w:sz w:val="16"/>
                <w:szCs w:val="16"/>
              </w:rPr>
            </w:pPr>
            <w:r w:rsidRPr="0013311A">
              <w:rPr>
                <w:rFonts w:ascii="Arial" w:hAnsi="Arial" w:cs="Arial"/>
                <w:sz w:val="16"/>
                <w:szCs w:val="16"/>
              </w:rPr>
              <w:t>0.00813</w:t>
            </w:r>
          </w:p>
        </w:tc>
        <w:tc>
          <w:tcPr>
            <w:tcW w:w="993" w:type="dxa"/>
            <w:tcBorders>
              <w:top w:val="nil"/>
              <w:left w:val="single" w:sz="8" w:space="0" w:color="auto"/>
              <w:bottom w:val="single" w:sz="8" w:space="0" w:color="auto"/>
              <w:right w:val="single" w:sz="8" w:space="0" w:color="auto"/>
            </w:tcBorders>
            <w:shd w:val="clear" w:color="auto" w:fill="auto"/>
            <w:noWrap/>
            <w:vAlign w:val="bottom"/>
          </w:tcPr>
          <w:p w:rsidR="005A3D15" w:rsidRPr="0013311A" w:rsidRDefault="005A3D15" w:rsidP="00700224">
            <w:pPr>
              <w:spacing w:before="60" w:after="60"/>
              <w:jc w:val="right"/>
              <w:rPr>
                <w:rFonts w:ascii="Arial" w:hAnsi="Arial" w:cs="Arial"/>
                <w:sz w:val="16"/>
                <w:szCs w:val="16"/>
              </w:rPr>
            </w:pPr>
            <w:r w:rsidRPr="0013311A">
              <w:rPr>
                <w:rFonts w:ascii="Arial" w:hAnsi="Arial" w:cs="Arial"/>
                <w:sz w:val="16"/>
                <w:szCs w:val="16"/>
              </w:rPr>
              <w:t>4.8%</w:t>
            </w:r>
          </w:p>
        </w:tc>
      </w:tr>
      <w:tr w:rsidR="005A3D15" w:rsidRPr="00D01DD3" w:rsidTr="00EE0B09">
        <w:trPr>
          <w:trHeight w:val="163"/>
        </w:trPr>
        <w:tc>
          <w:tcPr>
            <w:tcW w:w="1527" w:type="dxa"/>
            <w:vMerge w:val="restart"/>
            <w:tcBorders>
              <w:top w:val="nil"/>
              <w:left w:val="single" w:sz="8" w:space="0" w:color="auto"/>
              <w:bottom w:val="single" w:sz="8" w:space="0" w:color="000000"/>
              <w:right w:val="single" w:sz="8" w:space="0" w:color="auto"/>
            </w:tcBorders>
            <w:shd w:val="clear" w:color="auto" w:fill="auto"/>
            <w:hideMark/>
          </w:tcPr>
          <w:p w:rsidR="005A3D15" w:rsidRPr="0013311A" w:rsidRDefault="005A3D15" w:rsidP="00700224">
            <w:pPr>
              <w:spacing w:before="60" w:after="60"/>
              <w:jc w:val="left"/>
              <w:rPr>
                <w:rFonts w:ascii="Arial" w:hAnsi="Arial" w:cs="Arial"/>
                <w:sz w:val="16"/>
                <w:szCs w:val="16"/>
                <w:lang w:eastAsia="en-NZ"/>
              </w:rPr>
            </w:pPr>
            <w:r w:rsidRPr="0013311A">
              <w:rPr>
                <w:rFonts w:ascii="Arial" w:hAnsi="Arial" w:cs="Arial"/>
                <w:sz w:val="16"/>
                <w:szCs w:val="16"/>
                <w:lang w:eastAsia="en-NZ"/>
              </w:rPr>
              <w:t>Distributed natural gas</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5A3D15" w:rsidRPr="0013311A" w:rsidRDefault="005A3D15" w:rsidP="0032465A">
            <w:pPr>
              <w:spacing w:before="60" w:after="60"/>
              <w:jc w:val="left"/>
              <w:rPr>
                <w:rFonts w:ascii="Arial" w:hAnsi="Arial" w:cs="Arial"/>
                <w:sz w:val="16"/>
                <w:szCs w:val="16"/>
                <w:lang w:eastAsia="en-NZ"/>
              </w:rPr>
            </w:pPr>
            <w:r w:rsidRPr="0013311A">
              <w:rPr>
                <w:rFonts w:ascii="Arial" w:hAnsi="Arial" w:cs="Arial"/>
                <w:sz w:val="16"/>
                <w:szCs w:val="16"/>
                <w:lang w:eastAsia="en-NZ"/>
              </w:rPr>
              <w:t>Commercial</w:t>
            </w:r>
          </w:p>
        </w:tc>
        <w:tc>
          <w:tcPr>
            <w:tcW w:w="567" w:type="dxa"/>
            <w:tcBorders>
              <w:top w:val="nil"/>
              <w:left w:val="nil"/>
              <w:bottom w:val="single" w:sz="8" w:space="0" w:color="auto"/>
              <w:right w:val="single" w:sz="8" w:space="0" w:color="auto"/>
            </w:tcBorders>
            <w:shd w:val="clear" w:color="auto" w:fill="auto"/>
            <w:hideMark/>
          </w:tcPr>
          <w:p w:rsidR="005A3D15" w:rsidRPr="0013311A" w:rsidRDefault="005A3D15" w:rsidP="0032465A">
            <w:pPr>
              <w:spacing w:before="60" w:after="60"/>
              <w:jc w:val="left"/>
              <w:rPr>
                <w:rFonts w:ascii="Arial" w:hAnsi="Arial" w:cs="Arial"/>
                <w:sz w:val="16"/>
                <w:szCs w:val="16"/>
                <w:lang w:eastAsia="en-NZ"/>
              </w:rPr>
            </w:pPr>
            <w:r w:rsidRPr="0013311A">
              <w:rPr>
                <w:rFonts w:ascii="Arial" w:hAnsi="Arial" w:cs="Arial"/>
                <w:sz w:val="16"/>
                <w:szCs w:val="16"/>
                <w:lang w:eastAsia="en-NZ"/>
              </w:rPr>
              <w:t>KWh</w:t>
            </w:r>
          </w:p>
        </w:tc>
        <w:tc>
          <w:tcPr>
            <w:tcW w:w="992" w:type="dxa"/>
            <w:tcBorders>
              <w:top w:val="nil"/>
              <w:left w:val="nil"/>
              <w:bottom w:val="single" w:sz="8" w:space="0" w:color="auto"/>
              <w:right w:val="nil"/>
            </w:tcBorders>
            <w:shd w:val="clear" w:color="auto" w:fill="auto"/>
            <w:noWrap/>
            <w:vAlign w:val="bottom"/>
          </w:tcPr>
          <w:p w:rsidR="005A3D15" w:rsidRPr="0013311A" w:rsidRDefault="005A3D15" w:rsidP="00700224">
            <w:pPr>
              <w:spacing w:before="60" w:after="60"/>
              <w:ind w:left="-108"/>
              <w:jc w:val="right"/>
              <w:rPr>
                <w:rFonts w:ascii="Arial" w:hAnsi="Arial" w:cs="Arial"/>
                <w:sz w:val="16"/>
                <w:szCs w:val="16"/>
                <w:lang w:eastAsia="en-NZ"/>
              </w:rPr>
            </w:pPr>
            <w:r w:rsidRPr="0013311A">
              <w:rPr>
                <w:rFonts w:ascii="Arial" w:hAnsi="Arial" w:cs="Arial"/>
                <w:sz w:val="16"/>
                <w:szCs w:val="16"/>
              </w:rPr>
              <w:t>0.194</w:t>
            </w:r>
          </w:p>
        </w:tc>
        <w:tc>
          <w:tcPr>
            <w:tcW w:w="1028" w:type="dxa"/>
            <w:tcBorders>
              <w:top w:val="nil"/>
              <w:left w:val="single" w:sz="8" w:space="0" w:color="auto"/>
              <w:bottom w:val="single" w:sz="8" w:space="0" w:color="auto"/>
              <w:right w:val="nil"/>
            </w:tcBorders>
            <w:shd w:val="clear" w:color="auto" w:fill="auto"/>
            <w:noWrap/>
            <w:vAlign w:val="bottom"/>
          </w:tcPr>
          <w:p w:rsidR="005A3D15" w:rsidRPr="0013311A" w:rsidRDefault="005A3D15" w:rsidP="00700224">
            <w:pPr>
              <w:spacing w:before="60" w:after="60"/>
              <w:jc w:val="right"/>
              <w:rPr>
                <w:rFonts w:ascii="Arial" w:hAnsi="Arial" w:cs="Arial"/>
                <w:sz w:val="16"/>
                <w:szCs w:val="16"/>
                <w:lang w:eastAsia="en-NZ"/>
              </w:rPr>
            </w:pPr>
            <w:r w:rsidRPr="0013311A">
              <w:rPr>
                <w:rFonts w:ascii="Arial" w:hAnsi="Arial" w:cs="Arial"/>
                <w:sz w:val="16"/>
                <w:szCs w:val="16"/>
              </w:rPr>
              <w:t>0.194</w:t>
            </w:r>
          </w:p>
        </w:tc>
        <w:tc>
          <w:tcPr>
            <w:tcW w:w="983" w:type="dxa"/>
            <w:tcBorders>
              <w:top w:val="nil"/>
              <w:left w:val="single" w:sz="8" w:space="0" w:color="auto"/>
              <w:bottom w:val="single" w:sz="8" w:space="0" w:color="auto"/>
              <w:right w:val="single" w:sz="8" w:space="0" w:color="auto"/>
            </w:tcBorders>
            <w:shd w:val="clear" w:color="auto" w:fill="auto"/>
            <w:noWrap/>
            <w:vAlign w:val="bottom"/>
          </w:tcPr>
          <w:p w:rsidR="005A3D15" w:rsidRPr="0013311A" w:rsidRDefault="005A3D15" w:rsidP="00700224">
            <w:pPr>
              <w:spacing w:before="60" w:after="60"/>
              <w:jc w:val="right"/>
              <w:rPr>
                <w:rFonts w:ascii="Arial" w:hAnsi="Arial" w:cs="Arial"/>
                <w:sz w:val="16"/>
                <w:szCs w:val="16"/>
                <w:lang w:eastAsia="en-NZ"/>
              </w:rPr>
            </w:pPr>
            <w:r w:rsidRPr="0013311A">
              <w:rPr>
                <w:rFonts w:ascii="Arial" w:hAnsi="Arial" w:cs="Arial"/>
                <w:sz w:val="16"/>
                <w:szCs w:val="16"/>
              </w:rPr>
              <w:t>0.000405</w:t>
            </w:r>
          </w:p>
        </w:tc>
        <w:tc>
          <w:tcPr>
            <w:tcW w:w="1107" w:type="dxa"/>
            <w:tcBorders>
              <w:top w:val="nil"/>
              <w:left w:val="nil"/>
              <w:bottom w:val="single" w:sz="8" w:space="0" w:color="auto"/>
              <w:right w:val="nil"/>
            </w:tcBorders>
            <w:shd w:val="clear" w:color="auto" w:fill="auto"/>
            <w:noWrap/>
            <w:vAlign w:val="bottom"/>
          </w:tcPr>
          <w:p w:rsidR="005A3D15" w:rsidRPr="0013311A" w:rsidRDefault="005A3D15" w:rsidP="00700224">
            <w:pPr>
              <w:spacing w:before="60" w:after="60"/>
              <w:jc w:val="right"/>
              <w:rPr>
                <w:rFonts w:ascii="Arial" w:hAnsi="Arial" w:cs="Arial"/>
                <w:sz w:val="16"/>
                <w:szCs w:val="16"/>
                <w:lang w:eastAsia="en-NZ"/>
              </w:rPr>
            </w:pPr>
            <w:r w:rsidRPr="0013311A">
              <w:rPr>
                <w:rFonts w:ascii="Arial" w:hAnsi="Arial" w:cs="Arial"/>
                <w:sz w:val="16"/>
                <w:szCs w:val="16"/>
              </w:rPr>
              <w:t>0.0000966</w:t>
            </w:r>
          </w:p>
        </w:tc>
        <w:tc>
          <w:tcPr>
            <w:tcW w:w="993" w:type="dxa"/>
            <w:tcBorders>
              <w:top w:val="nil"/>
              <w:left w:val="single" w:sz="8" w:space="0" w:color="auto"/>
              <w:bottom w:val="single" w:sz="8" w:space="0" w:color="auto"/>
              <w:right w:val="single" w:sz="8" w:space="0" w:color="auto"/>
            </w:tcBorders>
            <w:shd w:val="clear" w:color="auto" w:fill="auto"/>
            <w:noWrap/>
            <w:vAlign w:val="bottom"/>
          </w:tcPr>
          <w:p w:rsidR="005A3D15" w:rsidRPr="0013311A" w:rsidRDefault="005A3D15" w:rsidP="00700224">
            <w:pPr>
              <w:spacing w:before="60" w:after="60"/>
              <w:jc w:val="right"/>
              <w:rPr>
                <w:rFonts w:ascii="Arial" w:hAnsi="Arial" w:cs="Arial"/>
                <w:sz w:val="16"/>
                <w:szCs w:val="16"/>
                <w:lang w:eastAsia="en-NZ"/>
              </w:rPr>
            </w:pPr>
            <w:r w:rsidRPr="0013311A">
              <w:rPr>
                <w:rFonts w:ascii="Arial" w:hAnsi="Arial" w:cs="Arial"/>
                <w:sz w:val="16"/>
                <w:szCs w:val="16"/>
              </w:rPr>
              <w:t>2.4%</w:t>
            </w:r>
          </w:p>
        </w:tc>
      </w:tr>
      <w:tr w:rsidR="005A3D15" w:rsidRPr="00D01DD3" w:rsidTr="00EE0B09">
        <w:trPr>
          <w:trHeight w:val="163"/>
        </w:trPr>
        <w:tc>
          <w:tcPr>
            <w:tcW w:w="1527" w:type="dxa"/>
            <w:vMerge/>
            <w:tcBorders>
              <w:top w:val="nil"/>
              <w:left w:val="single" w:sz="8" w:space="0" w:color="auto"/>
              <w:bottom w:val="single" w:sz="8" w:space="0" w:color="000000"/>
              <w:right w:val="single" w:sz="8" w:space="0" w:color="auto"/>
            </w:tcBorders>
            <w:vAlign w:val="center"/>
            <w:hideMark/>
          </w:tcPr>
          <w:p w:rsidR="005A3D15" w:rsidRPr="0013311A" w:rsidRDefault="005A3D15" w:rsidP="00700224">
            <w:pPr>
              <w:spacing w:before="60" w:after="60"/>
              <w:jc w:val="left"/>
              <w:rPr>
                <w:rFonts w:ascii="Arial" w:hAnsi="Arial" w:cs="Arial"/>
                <w:sz w:val="16"/>
                <w:szCs w:val="16"/>
                <w:lang w:eastAsia="en-NZ"/>
              </w:rPr>
            </w:pPr>
          </w:p>
        </w:tc>
        <w:tc>
          <w:tcPr>
            <w:tcW w:w="1276" w:type="dxa"/>
            <w:vMerge/>
            <w:tcBorders>
              <w:top w:val="nil"/>
              <w:left w:val="single" w:sz="8" w:space="0" w:color="auto"/>
              <w:bottom w:val="single" w:sz="8" w:space="0" w:color="000000"/>
              <w:right w:val="single" w:sz="8" w:space="0" w:color="auto"/>
            </w:tcBorders>
            <w:vAlign w:val="center"/>
            <w:hideMark/>
          </w:tcPr>
          <w:p w:rsidR="005A3D15" w:rsidRPr="0013311A" w:rsidRDefault="005A3D15" w:rsidP="0032465A">
            <w:pPr>
              <w:spacing w:before="60" w:after="60"/>
              <w:jc w:val="left"/>
              <w:rPr>
                <w:rFonts w:ascii="Arial" w:hAnsi="Arial" w:cs="Arial"/>
                <w:sz w:val="16"/>
                <w:szCs w:val="16"/>
                <w:lang w:eastAsia="en-NZ"/>
              </w:rPr>
            </w:pPr>
          </w:p>
        </w:tc>
        <w:tc>
          <w:tcPr>
            <w:tcW w:w="567" w:type="dxa"/>
            <w:tcBorders>
              <w:top w:val="nil"/>
              <w:left w:val="nil"/>
              <w:bottom w:val="single" w:sz="8" w:space="0" w:color="auto"/>
              <w:right w:val="single" w:sz="8" w:space="0" w:color="auto"/>
            </w:tcBorders>
            <w:shd w:val="clear" w:color="auto" w:fill="auto"/>
            <w:hideMark/>
          </w:tcPr>
          <w:p w:rsidR="005A3D15" w:rsidRPr="0013311A" w:rsidRDefault="005A3D15" w:rsidP="0032465A">
            <w:pPr>
              <w:spacing w:before="60" w:after="60"/>
              <w:jc w:val="left"/>
              <w:rPr>
                <w:rFonts w:ascii="Arial" w:hAnsi="Arial" w:cs="Arial"/>
                <w:sz w:val="16"/>
                <w:szCs w:val="16"/>
                <w:lang w:eastAsia="en-NZ"/>
              </w:rPr>
            </w:pPr>
            <w:r w:rsidRPr="0013311A">
              <w:rPr>
                <w:rFonts w:ascii="Arial" w:hAnsi="Arial" w:cs="Arial"/>
                <w:sz w:val="16"/>
                <w:szCs w:val="16"/>
                <w:lang w:eastAsia="en-NZ"/>
              </w:rPr>
              <w:t>GJ</w:t>
            </w:r>
          </w:p>
        </w:tc>
        <w:tc>
          <w:tcPr>
            <w:tcW w:w="992" w:type="dxa"/>
            <w:tcBorders>
              <w:top w:val="nil"/>
              <w:left w:val="nil"/>
              <w:bottom w:val="single" w:sz="8" w:space="0" w:color="auto"/>
              <w:right w:val="nil"/>
            </w:tcBorders>
            <w:shd w:val="clear" w:color="auto" w:fill="auto"/>
            <w:noWrap/>
            <w:vAlign w:val="bottom"/>
          </w:tcPr>
          <w:p w:rsidR="005A3D15" w:rsidRPr="0013311A" w:rsidRDefault="005A3D15" w:rsidP="00700224">
            <w:pPr>
              <w:spacing w:before="60" w:after="60"/>
              <w:jc w:val="right"/>
              <w:rPr>
                <w:rFonts w:ascii="Arial" w:hAnsi="Arial" w:cs="Arial"/>
                <w:sz w:val="16"/>
                <w:szCs w:val="16"/>
                <w:lang w:eastAsia="en-NZ"/>
              </w:rPr>
            </w:pPr>
            <w:r w:rsidRPr="0013311A">
              <w:rPr>
                <w:rFonts w:ascii="Arial" w:hAnsi="Arial" w:cs="Arial"/>
                <w:sz w:val="16"/>
                <w:szCs w:val="16"/>
              </w:rPr>
              <w:t>53.9</w:t>
            </w:r>
          </w:p>
        </w:tc>
        <w:tc>
          <w:tcPr>
            <w:tcW w:w="1028" w:type="dxa"/>
            <w:tcBorders>
              <w:top w:val="nil"/>
              <w:left w:val="single" w:sz="8" w:space="0" w:color="auto"/>
              <w:bottom w:val="single" w:sz="8" w:space="0" w:color="auto"/>
              <w:right w:val="nil"/>
            </w:tcBorders>
            <w:shd w:val="clear" w:color="auto" w:fill="auto"/>
            <w:noWrap/>
            <w:vAlign w:val="bottom"/>
          </w:tcPr>
          <w:p w:rsidR="005A3D15" w:rsidRPr="0013311A" w:rsidRDefault="005A3D15" w:rsidP="00700224">
            <w:pPr>
              <w:spacing w:before="60" w:after="60"/>
              <w:jc w:val="right"/>
              <w:rPr>
                <w:rFonts w:ascii="Arial" w:hAnsi="Arial" w:cs="Arial"/>
                <w:sz w:val="16"/>
                <w:szCs w:val="16"/>
                <w:lang w:eastAsia="en-NZ"/>
              </w:rPr>
            </w:pPr>
            <w:r w:rsidRPr="0013311A">
              <w:rPr>
                <w:rFonts w:ascii="Arial" w:hAnsi="Arial" w:cs="Arial"/>
                <w:sz w:val="16"/>
                <w:szCs w:val="16"/>
              </w:rPr>
              <w:t>53.8</w:t>
            </w:r>
          </w:p>
        </w:tc>
        <w:tc>
          <w:tcPr>
            <w:tcW w:w="983" w:type="dxa"/>
            <w:tcBorders>
              <w:top w:val="nil"/>
              <w:left w:val="single" w:sz="8" w:space="0" w:color="auto"/>
              <w:bottom w:val="single" w:sz="8" w:space="0" w:color="auto"/>
              <w:right w:val="single" w:sz="8" w:space="0" w:color="auto"/>
            </w:tcBorders>
            <w:shd w:val="clear" w:color="auto" w:fill="auto"/>
            <w:noWrap/>
            <w:vAlign w:val="bottom"/>
          </w:tcPr>
          <w:p w:rsidR="005A3D15" w:rsidRPr="0013311A" w:rsidRDefault="005A3D15" w:rsidP="00700224">
            <w:pPr>
              <w:spacing w:before="60" w:after="60"/>
              <w:jc w:val="right"/>
              <w:rPr>
                <w:rFonts w:ascii="Arial" w:hAnsi="Arial" w:cs="Arial"/>
                <w:sz w:val="16"/>
                <w:szCs w:val="16"/>
                <w:lang w:eastAsia="en-NZ"/>
              </w:rPr>
            </w:pPr>
            <w:r w:rsidRPr="0013311A">
              <w:rPr>
                <w:rFonts w:ascii="Arial" w:hAnsi="Arial" w:cs="Arial"/>
                <w:sz w:val="16"/>
                <w:szCs w:val="16"/>
              </w:rPr>
              <w:t>0.113</w:t>
            </w:r>
          </w:p>
        </w:tc>
        <w:tc>
          <w:tcPr>
            <w:tcW w:w="1107" w:type="dxa"/>
            <w:tcBorders>
              <w:top w:val="nil"/>
              <w:left w:val="nil"/>
              <w:bottom w:val="single" w:sz="8" w:space="0" w:color="auto"/>
              <w:right w:val="nil"/>
            </w:tcBorders>
            <w:shd w:val="clear" w:color="auto" w:fill="auto"/>
            <w:noWrap/>
            <w:vAlign w:val="bottom"/>
          </w:tcPr>
          <w:p w:rsidR="005A3D15" w:rsidRPr="0013311A" w:rsidRDefault="005A3D15" w:rsidP="00700224">
            <w:pPr>
              <w:spacing w:before="60" w:after="60"/>
              <w:jc w:val="right"/>
              <w:rPr>
                <w:rFonts w:ascii="Arial" w:hAnsi="Arial" w:cs="Arial"/>
                <w:sz w:val="16"/>
                <w:szCs w:val="16"/>
                <w:lang w:eastAsia="en-NZ"/>
              </w:rPr>
            </w:pPr>
            <w:r w:rsidRPr="0013311A">
              <w:rPr>
                <w:rFonts w:ascii="Arial" w:hAnsi="Arial" w:cs="Arial"/>
                <w:sz w:val="16"/>
                <w:szCs w:val="16"/>
              </w:rPr>
              <w:t>0.0268</w:t>
            </w:r>
          </w:p>
        </w:tc>
        <w:tc>
          <w:tcPr>
            <w:tcW w:w="993" w:type="dxa"/>
            <w:tcBorders>
              <w:top w:val="nil"/>
              <w:left w:val="single" w:sz="8" w:space="0" w:color="auto"/>
              <w:bottom w:val="single" w:sz="8" w:space="0" w:color="auto"/>
              <w:right w:val="single" w:sz="8" w:space="0" w:color="auto"/>
            </w:tcBorders>
            <w:shd w:val="clear" w:color="auto" w:fill="auto"/>
            <w:noWrap/>
            <w:vAlign w:val="bottom"/>
          </w:tcPr>
          <w:p w:rsidR="005A3D15" w:rsidRPr="0013311A" w:rsidRDefault="005A3D15" w:rsidP="00700224">
            <w:pPr>
              <w:spacing w:before="60" w:after="60"/>
              <w:jc w:val="right"/>
              <w:rPr>
                <w:rFonts w:ascii="Arial" w:hAnsi="Arial" w:cs="Arial"/>
                <w:sz w:val="16"/>
                <w:szCs w:val="16"/>
                <w:lang w:eastAsia="en-NZ"/>
              </w:rPr>
            </w:pPr>
            <w:r w:rsidRPr="0013311A">
              <w:rPr>
                <w:rFonts w:ascii="Arial" w:hAnsi="Arial" w:cs="Arial"/>
                <w:sz w:val="16"/>
                <w:szCs w:val="16"/>
              </w:rPr>
              <w:t>2.4%</w:t>
            </w:r>
          </w:p>
        </w:tc>
      </w:tr>
      <w:tr w:rsidR="005A3D15" w:rsidRPr="00D01DD3" w:rsidTr="00EE0B09">
        <w:trPr>
          <w:trHeight w:val="249"/>
        </w:trPr>
        <w:tc>
          <w:tcPr>
            <w:tcW w:w="1527" w:type="dxa"/>
            <w:tcBorders>
              <w:top w:val="nil"/>
              <w:left w:val="single" w:sz="8" w:space="0" w:color="auto"/>
              <w:bottom w:val="single" w:sz="8" w:space="0" w:color="auto"/>
              <w:right w:val="single" w:sz="8" w:space="0" w:color="auto"/>
            </w:tcBorders>
            <w:shd w:val="clear" w:color="auto" w:fill="auto"/>
            <w:hideMark/>
          </w:tcPr>
          <w:p w:rsidR="005A3D15" w:rsidRPr="0013311A" w:rsidRDefault="005A3D15" w:rsidP="00700224">
            <w:pPr>
              <w:spacing w:before="60" w:after="60"/>
              <w:jc w:val="left"/>
              <w:rPr>
                <w:rFonts w:ascii="Arial" w:hAnsi="Arial" w:cs="Arial"/>
                <w:sz w:val="16"/>
                <w:szCs w:val="16"/>
                <w:lang w:eastAsia="en-NZ"/>
              </w:rPr>
            </w:pPr>
            <w:r w:rsidRPr="0013311A">
              <w:rPr>
                <w:rFonts w:ascii="Arial" w:hAnsi="Arial" w:cs="Arial"/>
                <w:sz w:val="16"/>
                <w:szCs w:val="16"/>
                <w:lang w:eastAsia="en-NZ"/>
              </w:rPr>
              <w:t>Coal – bituminous</w:t>
            </w:r>
          </w:p>
        </w:tc>
        <w:tc>
          <w:tcPr>
            <w:tcW w:w="1276" w:type="dxa"/>
            <w:tcBorders>
              <w:top w:val="nil"/>
              <w:left w:val="nil"/>
              <w:bottom w:val="single" w:sz="8" w:space="0" w:color="auto"/>
              <w:right w:val="single" w:sz="8" w:space="0" w:color="auto"/>
            </w:tcBorders>
            <w:shd w:val="clear" w:color="auto" w:fill="auto"/>
            <w:hideMark/>
          </w:tcPr>
          <w:p w:rsidR="005A3D15" w:rsidRPr="0013311A" w:rsidRDefault="005A3D15" w:rsidP="0032465A">
            <w:pPr>
              <w:spacing w:before="60" w:after="60"/>
              <w:jc w:val="left"/>
              <w:rPr>
                <w:rFonts w:ascii="Arial" w:hAnsi="Arial" w:cs="Arial"/>
                <w:sz w:val="16"/>
                <w:szCs w:val="16"/>
                <w:lang w:eastAsia="en-NZ"/>
              </w:rPr>
            </w:pPr>
            <w:r w:rsidRPr="0013311A">
              <w:rPr>
                <w:rFonts w:ascii="Arial" w:hAnsi="Arial" w:cs="Arial"/>
                <w:sz w:val="16"/>
                <w:szCs w:val="16"/>
                <w:lang w:eastAsia="en-NZ"/>
              </w:rPr>
              <w:t>Commercial</w:t>
            </w:r>
          </w:p>
        </w:tc>
        <w:tc>
          <w:tcPr>
            <w:tcW w:w="567" w:type="dxa"/>
            <w:tcBorders>
              <w:top w:val="nil"/>
              <w:left w:val="nil"/>
              <w:bottom w:val="single" w:sz="8" w:space="0" w:color="auto"/>
              <w:right w:val="single" w:sz="8" w:space="0" w:color="auto"/>
            </w:tcBorders>
            <w:shd w:val="clear" w:color="auto" w:fill="auto"/>
            <w:hideMark/>
          </w:tcPr>
          <w:p w:rsidR="005A3D15" w:rsidRPr="0013311A" w:rsidRDefault="005A3D15" w:rsidP="0032465A">
            <w:pPr>
              <w:spacing w:before="60" w:after="60"/>
              <w:jc w:val="left"/>
              <w:rPr>
                <w:rFonts w:ascii="Arial" w:hAnsi="Arial" w:cs="Arial"/>
                <w:sz w:val="16"/>
                <w:szCs w:val="16"/>
                <w:lang w:eastAsia="en-NZ"/>
              </w:rPr>
            </w:pPr>
            <w:r w:rsidRPr="0013311A">
              <w:rPr>
                <w:rFonts w:ascii="Arial" w:hAnsi="Arial" w:cs="Arial"/>
                <w:sz w:val="16"/>
                <w:szCs w:val="16"/>
                <w:lang w:eastAsia="en-NZ"/>
              </w:rPr>
              <w:t>Kg</w:t>
            </w:r>
          </w:p>
        </w:tc>
        <w:tc>
          <w:tcPr>
            <w:tcW w:w="992" w:type="dxa"/>
            <w:tcBorders>
              <w:top w:val="nil"/>
              <w:left w:val="nil"/>
              <w:bottom w:val="single" w:sz="8" w:space="0" w:color="auto"/>
              <w:right w:val="nil"/>
            </w:tcBorders>
            <w:shd w:val="clear" w:color="auto" w:fill="auto"/>
            <w:noWrap/>
            <w:vAlign w:val="bottom"/>
          </w:tcPr>
          <w:p w:rsidR="005A3D15" w:rsidRPr="0013311A" w:rsidRDefault="005A3D15" w:rsidP="00700224">
            <w:pPr>
              <w:spacing w:before="60" w:after="60"/>
              <w:jc w:val="right"/>
              <w:rPr>
                <w:rFonts w:ascii="Arial" w:hAnsi="Arial" w:cs="Arial"/>
                <w:sz w:val="16"/>
                <w:szCs w:val="16"/>
                <w:lang w:eastAsia="en-NZ"/>
              </w:rPr>
            </w:pPr>
            <w:r w:rsidRPr="0013311A">
              <w:rPr>
                <w:rFonts w:ascii="Arial" w:hAnsi="Arial" w:cs="Arial"/>
                <w:sz w:val="16"/>
                <w:szCs w:val="16"/>
              </w:rPr>
              <w:t>2.68</w:t>
            </w:r>
          </w:p>
        </w:tc>
        <w:tc>
          <w:tcPr>
            <w:tcW w:w="1028" w:type="dxa"/>
            <w:tcBorders>
              <w:top w:val="nil"/>
              <w:left w:val="single" w:sz="8" w:space="0" w:color="auto"/>
              <w:bottom w:val="single" w:sz="8" w:space="0" w:color="auto"/>
              <w:right w:val="nil"/>
            </w:tcBorders>
            <w:shd w:val="clear" w:color="auto" w:fill="auto"/>
            <w:noWrap/>
            <w:vAlign w:val="bottom"/>
          </w:tcPr>
          <w:p w:rsidR="005A3D15" w:rsidRPr="0013311A" w:rsidRDefault="005A3D15" w:rsidP="00700224">
            <w:pPr>
              <w:spacing w:before="60" w:after="60"/>
              <w:jc w:val="right"/>
              <w:rPr>
                <w:rFonts w:ascii="Arial" w:hAnsi="Arial" w:cs="Arial"/>
                <w:sz w:val="16"/>
                <w:szCs w:val="16"/>
                <w:lang w:eastAsia="en-NZ"/>
              </w:rPr>
            </w:pPr>
            <w:r w:rsidRPr="0013311A">
              <w:rPr>
                <w:rFonts w:ascii="Arial" w:hAnsi="Arial" w:cs="Arial"/>
                <w:sz w:val="16"/>
                <w:szCs w:val="16"/>
              </w:rPr>
              <w:t>2.66</w:t>
            </w:r>
          </w:p>
        </w:tc>
        <w:tc>
          <w:tcPr>
            <w:tcW w:w="983" w:type="dxa"/>
            <w:tcBorders>
              <w:top w:val="nil"/>
              <w:left w:val="single" w:sz="8" w:space="0" w:color="auto"/>
              <w:bottom w:val="single" w:sz="8" w:space="0" w:color="auto"/>
              <w:right w:val="single" w:sz="8" w:space="0" w:color="auto"/>
            </w:tcBorders>
            <w:shd w:val="clear" w:color="auto" w:fill="auto"/>
            <w:noWrap/>
            <w:vAlign w:val="bottom"/>
          </w:tcPr>
          <w:p w:rsidR="005A3D15" w:rsidRPr="0013311A" w:rsidRDefault="005A3D15" w:rsidP="00700224">
            <w:pPr>
              <w:spacing w:before="60" w:after="60"/>
              <w:jc w:val="right"/>
              <w:rPr>
                <w:rFonts w:ascii="Arial" w:hAnsi="Arial" w:cs="Arial"/>
                <w:sz w:val="16"/>
                <w:szCs w:val="16"/>
                <w:lang w:eastAsia="en-NZ"/>
              </w:rPr>
            </w:pPr>
            <w:r w:rsidRPr="0013311A">
              <w:rPr>
                <w:rFonts w:ascii="Arial" w:hAnsi="Arial" w:cs="Arial"/>
                <w:sz w:val="16"/>
                <w:szCs w:val="16"/>
              </w:rPr>
              <w:t>0.00710</w:t>
            </w:r>
          </w:p>
        </w:tc>
        <w:tc>
          <w:tcPr>
            <w:tcW w:w="1107" w:type="dxa"/>
            <w:tcBorders>
              <w:top w:val="nil"/>
              <w:left w:val="nil"/>
              <w:bottom w:val="single" w:sz="8" w:space="0" w:color="auto"/>
              <w:right w:val="nil"/>
            </w:tcBorders>
            <w:shd w:val="clear" w:color="auto" w:fill="auto"/>
            <w:noWrap/>
            <w:vAlign w:val="bottom"/>
          </w:tcPr>
          <w:p w:rsidR="005A3D15" w:rsidRPr="0013311A" w:rsidRDefault="005A3D15" w:rsidP="00700224">
            <w:pPr>
              <w:spacing w:before="60" w:after="60"/>
              <w:jc w:val="right"/>
              <w:rPr>
                <w:rFonts w:ascii="Arial" w:hAnsi="Arial" w:cs="Arial"/>
                <w:sz w:val="16"/>
                <w:szCs w:val="16"/>
              </w:rPr>
            </w:pPr>
            <w:r w:rsidRPr="0013311A">
              <w:rPr>
                <w:rFonts w:ascii="Arial" w:hAnsi="Arial" w:cs="Arial"/>
                <w:sz w:val="16"/>
                <w:szCs w:val="16"/>
              </w:rPr>
              <w:t>0.0127</w:t>
            </w:r>
          </w:p>
        </w:tc>
        <w:tc>
          <w:tcPr>
            <w:tcW w:w="993" w:type="dxa"/>
            <w:tcBorders>
              <w:top w:val="nil"/>
              <w:left w:val="single" w:sz="8" w:space="0" w:color="auto"/>
              <w:bottom w:val="single" w:sz="8" w:space="0" w:color="auto"/>
              <w:right w:val="single" w:sz="8" w:space="0" w:color="auto"/>
            </w:tcBorders>
            <w:shd w:val="clear" w:color="auto" w:fill="auto"/>
            <w:noWrap/>
            <w:vAlign w:val="bottom"/>
          </w:tcPr>
          <w:p w:rsidR="005A3D15" w:rsidRPr="0013311A" w:rsidRDefault="005A3D15" w:rsidP="00700224">
            <w:pPr>
              <w:spacing w:before="60" w:after="60"/>
              <w:jc w:val="right"/>
              <w:rPr>
                <w:rFonts w:ascii="Arial" w:hAnsi="Arial" w:cs="Arial"/>
                <w:sz w:val="16"/>
                <w:szCs w:val="16"/>
                <w:lang w:eastAsia="en-NZ"/>
              </w:rPr>
            </w:pPr>
            <w:r w:rsidRPr="0013311A">
              <w:rPr>
                <w:rFonts w:ascii="Arial" w:hAnsi="Arial" w:cs="Arial"/>
                <w:sz w:val="16"/>
                <w:szCs w:val="16"/>
              </w:rPr>
              <w:t>3.5%</w:t>
            </w:r>
          </w:p>
        </w:tc>
      </w:tr>
      <w:tr w:rsidR="005A3D15" w:rsidRPr="00D01DD3" w:rsidTr="00EE0B09">
        <w:trPr>
          <w:trHeight w:val="249"/>
        </w:trPr>
        <w:tc>
          <w:tcPr>
            <w:tcW w:w="1527" w:type="dxa"/>
            <w:tcBorders>
              <w:top w:val="nil"/>
              <w:left w:val="single" w:sz="8" w:space="0" w:color="auto"/>
              <w:bottom w:val="single" w:sz="8" w:space="0" w:color="auto"/>
              <w:right w:val="single" w:sz="8" w:space="0" w:color="auto"/>
            </w:tcBorders>
            <w:shd w:val="clear" w:color="auto" w:fill="auto"/>
            <w:hideMark/>
          </w:tcPr>
          <w:p w:rsidR="005A3D15" w:rsidRPr="0013311A" w:rsidRDefault="005A3D15" w:rsidP="00700224">
            <w:pPr>
              <w:spacing w:before="60" w:after="60"/>
              <w:jc w:val="left"/>
              <w:rPr>
                <w:rFonts w:ascii="Arial" w:hAnsi="Arial" w:cs="Arial"/>
                <w:sz w:val="16"/>
                <w:szCs w:val="16"/>
                <w:lang w:eastAsia="en-NZ"/>
              </w:rPr>
            </w:pPr>
            <w:r w:rsidRPr="0013311A">
              <w:rPr>
                <w:rFonts w:ascii="Arial" w:hAnsi="Arial" w:cs="Arial"/>
                <w:sz w:val="16"/>
                <w:szCs w:val="16"/>
                <w:lang w:eastAsia="en-NZ"/>
              </w:rPr>
              <w:t>Coal – sub-bituminous</w:t>
            </w:r>
          </w:p>
        </w:tc>
        <w:tc>
          <w:tcPr>
            <w:tcW w:w="1276" w:type="dxa"/>
            <w:tcBorders>
              <w:top w:val="nil"/>
              <w:left w:val="nil"/>
              <w:bottom w:val="single" w:sz="8" w:space="0" w:color="auto"/>
              <w:right w:val="single" w:sz="8" w:space="0" w:color="auto"/>
            </w:tcBorders>
            <w:shd w:val="clear" w:color="auto" w:fill="auto"/>
            <w:hideMark/>
          </w:tcPr>
          <w:p w:rsidR="005A3D15" w:rsidRPr="0013311A" w:rsidRDefault="005A3D15" w:rsidP="0032465A">
            <w:pPr>
              <w:spacing w:before="60" w:after="60"/>
              <w:jc w:val="left"/>
              <w:rPr>
                <w:rFonts w:ascii="Arial" w:hAnsi="Arial" w:cs="Arial"/>
                <w:sz w:val="16"/>
                <w:szCs w:val="16"/>
                <w:lang w:eastAsia="en-NZ"/>
              </w:rPr>
            </w:pPr>
            <w:r w:rsidRPr="0013311A">
              <w:rPr>
                <w:rFonts w:ascii="Arial" w:hAnsi="Arial" w:cs="Arial"/>
                <w:sz w:val="16"/>
                <w:szCs w:val="16"/>
                <w:lang w:eastAsia="en-NZ"/>
              </w:rPr>
              <w:t>Commercial</w:t>
            </w:r>
          </w:p>
        </w:tc>
        <w:tc>
          <w:tcPr>
            <w:tcW w:w="567" w:type="dxa"/>
            <w:tcBorders>
              <w:top w:val="nil"/>
              <w:left w:val="nil"/>
              <w:bottom w:val="single" w:sz="8" w:space="0" w:color="auto"/>
              <w:right w:val="single" w:sz="8" w:space="0" w:color="auto"/>
            </w:tcBorders>
            <w:shd w:val="clear" w:color="auto" w:fill="auto"/>
            <w:hideMark/>
          </w:tcPr>
          <w:p w:rsidR="005A3D15" w:rsidRPr="0013311A" w:rsidRDefault="005A3D15" w:rsidP="0032465A">
            <w:pPr>
              <w:spacing w:before="60" w:after="60"/>
              <w:jc w:val="left"/>
              <w:rPr>
                <w:rFonts w:ascii="Arial" w:hAnsi="Arial" w:cs="Arial"/>
                <w:sz w:val="16"/>
                <w:szCs w:val="16"/>
                <w:lang w:eastAsia="en-NZ"/>
              </w:rPr>
            </w:pPr>
            <w:r w:rsidRPr="0013311A">
              <w:rPr>
                <w:rFonts w:ascii="Arial" w:hAnsi="Arial" w:cs="Arial"/>
                <w:sz w:val="16"/>
                <w:szCs w:val="16"/>
                <w:lang w:eastAsia="en-NZ"/>
              </w:rPr>
              <w:t>Kg</w:t>
            </w:r>
          </w:p>
        </w:tc>
        <w:tc>
          <w:tcPr>
            <w:tcW w:w="992" w:type="dxa"/>
            <w:tcBorders>
              <w:top w:val="nil"/>
              <w:left w:val="nil"/>
              <w:bottom w:val="single" w:sz="8" w:space="0" w:color="auto"/>
              <w:right w:val="nil"/>
            </w:tcBorders>
            <w:shd w:val="clear" w:color="auto" w:fill="auto"/>
            <w:noWrap/>
            <w:vAlign w:val="bottom"/>
          </w:tcPr>
          <w:p w:rsidR="005A3D15" w:rsidRPr="0013311A" w:rsidRDefault="005A3D15" w:rsidP="00700224">
            <w:pPr>
              <w:spacing w:before="60" w:after="60"/>
              <w:jc w:val="right"/>
              <w:rPr>
                <w:rFonts w:ascii="Arial" w:hAnsi="Arial" w:cs="Arial"/>
                <w:sz w:val="16"/>
                <w:szCs w:val="16"/>
                <w:lang w:eastAsia="en-NZ"/>
              </w:rPr>
            </w:pPr>
            <w:r w:rsidRPr="0013311A">
              <w:rPr>
                <w:rFonts w:ascii="Arial" w:hAnsi="Arial" w:cs="Arial"/>
                <w:sz w:val="16"/>
                <w:szCs w:val="16"/>
              </w:rPr>
              <w:t>2.00</w:t>
            </w:r>
          </w:p>
        </w:tc>
        <w:tc>
          <w:tcPr>
            <w:tcW w:w="1028" w:type="dxa"/>
            <w:tcBorders>
              <w:top w:val="nil"/>
              <w:left w:val="single" w:sz="8" w:space="0" w:color="auto"/>
              <w:bottom w:val="single" w:sz="8" w:space="0" w:color="auto"/>
              <w:right w:val="nil"/>
            </w:tcBorders>
            <w:shd w:val="clear" w:color="auto" w:fill="auto"/>
            <w:noWrap/>
            <w:vAlign w:val="bottom"/>
          </w:tcPr>
          <w:p w:rsidR="005A3D15" w:rsidRPr="0013311A" w:rsidRDefault="005A3D15" w:rsidP="00700224">
            <w:pPr>
              <w:spacing w:before="60" w:after="60"/>
              <w:jc w:val="right"/>
              <w:rPr>
                <w:rFonts w:ascii="Arial" w:hAnsi="Arial" w:cs="Arial"/>
                <w:sz w:val="16"/>
                <w:szCs w:val="16"/>
                <w:lang w:eastAsia="en-NZ"/>
              </w:rPr>
            </w:pPr>
            <w:r w:rsidRPr="0013311A">
              <w:rPr>
                <w:rFonts w:ascii="Arial" w:hAnsi="Arial" w:cs="Arial"/>
                <w:sz w:val="16"/>
                <w:szCs w:val="16"/>
              </w:rPr>
              <w:t>1.99</w:t>
            </w:r>
          </w:p>
        </w:tc>
        <w:tc>
          <w:tcPr>
            <w:tcW w:w="983" w:type="dxa"/>
            <w:tcBorders>
              <w:top w:val="nil"/>
              <w:left w:val="single" w:sz="8" w:space="0" w:color="auto"/>
              <w:bottom w:val="single" w:sz="8" w:space="0" w:color="auto"/>
              <w:right w:val="single" w:sz="8" w:space="0" w:color="auto"/>
            </w:tcBorders>
            <w:shd w:val="clear" w:color="auto" w:fill="auto"/>
            <w:noWrap/>
            <w:vAlign w:val="bottom"/>
          </w:tcPr>
          <w:p w:rsidR="005A3D15" w:rsidRPr="0013311A" w:rsidRDefault="005A3D15" w:rsidP="00700224">
            <w:pPr>
              <w:spacing w:before="60" w:after="60"/>
              <w:jc w:val="right"/>
              <w:rPr>
                <w:rFonts w:ascii="Arial" w:hAnsi="Arial" w:cs="Arial"/>
                <w:sz w:val="16"/>
                <w:szCs w:val="16"/>
                <w:lang w:eastAsia="en-NZ"/>
              </w:rPr>
            </w:pPr>
            <w:r w:rsidRPr="0013311A">
              <w:rPr>
                <w:rFonts w:ascii="Arial" w:hAnsi="Arial" w:cs="Arial"/>
                <w:sz w:val="16"/>
                <w:szCs w:val="16"/>
              </w:rPr>
              <w:t>0.00513</w:t>
            </w:r>
          </w:p>
        </w:tc>
        <w:tc>
          <w:tcPr>
            <w:tcW w:w="1107" w:type="dxa"/>
            <w:tcBorders>
              <w:top w:val="nil"/>
              <w:left w:val="nil"/>
              <w:bottom w:val="single" w:sz="8" w:space="0" w:color="auto"/>
              <w:right w:val="nil"/>
            </w:tcBorders>
            <w:shd w:val="clear" w:color="auto" w:fill="auto"/>
            <w:noWrap/>
            <w:vAlign w:val="bottom"/>
          </w:tcPr>
          <w:p w:rsidR="005A3D15" w:rsidRPr="0013311A" w:rsidRDefault="005A3D15" w:rsidP="00700224">
            <w:pPr>
              <w:spacing w:before="60" w:after="60"/>
              <w:jc w:val="right"/>
              <w:rPr>
                <w:rFonts w:ascii="Arial" w:hAnsi="Arial" w:cs="Arial"/>
                <w:sz w:val="16"/>
                <w:szCs w:val="16"/>
              </w:rPr>
            </w:pPr>
            <w:r w:rsidRPr="0013311A">
              <w:rPr>
                <w:rFonts w:ascii="Arial" w:hAnsi="Arial" w:cs="Arial"/>
                <w:sz w:val="16"/>
                <w:szCs w:val="16"/>
              </w:rPr>
              <w:t>0.00917</w:t>
            </w:r>
          </w:p>
        </w:tc>
        <w:tc>
          <w:tcPr>
            <w:tcW w:w="993" w:type="dxa"/>
            <w:tcBorders>
              <w:top w:val="nil"/>
              <w:left w:val="single" w:sz="8" w:space="0" w:color="auto"/>
              <w:bottom w:val="single" w:sz="8" w:space="0" w:color="auto"/>
              <w:right w:val="single" w:sz="8" w:space="0" w:color="auto"/>
            </w:tcBorders>
            <w:shd w:val="clear" w:color="auto" w:fill="auto"/>
            <w:noWrap/>
            <w:vAlign w:val="bottom"/>
          </w:tcPr>
          <w:p w:rsidR="005A3D15" w:rsidRPr="0013311A" w:rsidRDefault="005A3D15" w:rsidP="00700224">
            <w:pPr>
              <w:spacing w:before="60" w:after="60"/>
              <w:jc w:val="right"/>
              <w:rPr>
                <w:rFonts w:ascii="Arial" w:hAnsi="Arial" w:cs="Arial"/>
                <w:sz w:val="16"/>
                <w:szCs w:val="16"/>
                <w:lang w:eastAsia="en-NZ"/>
              </w:rPr>
            </w:pPr>
            <w:r w:rsidRPr="0013311A">
              <w:rPr>
                <w:rFonts w:ascii="Arial" w:hAnsi="Arial" w:cs="Arial"/>
                <w:sz w:val="16"/>
                <w:szCs w:val="16"/>
              </w:rPr>
              <w:t>3.5%</w:t>
            </w:r>
          </w:p>
        </w:tc>
      </w:tr>
      <w:tr w:rsidR="005A3D15" w:rsidRPr="00D01DD3" w:rsidTr="00EE0B09">
        <w:trPr>
          <w:trHeight w:val="249"/>
        </w:trPr>
        <w:tc>
          <w:tcPr>
            <w:tcW w:w="1527" w:type="dxa"/>
            <w:tcBorders>
              <w:top w:val="nil"/>
              <w:left w:val="single" w:sz="8" w:space="0" w:color="auto"/>
              <w:bottom w:val="single" w:sz="8" w:space="0" w:color="auto"/>
              <w:right w:val="single" w:sz="8" w:space="0" w:color="auto"/>
            </w:tcBorders>
            <w:shd w:val="clear" w:color="auto" w:fill="auto"/>
            <w:hideMark/>
          </w:tcPr>
          <w:p w:rsidR="005A3D15" w:rsidRPr="0013311A" w:rsidRDefault="005A3D15" w:rsidP="00700224">
            <w:pPr>
              <w:spacing w:before="60" w:after="60"/>
              <w:jc w:val="left"/>
              <w:rPr>
                <w:rFonts w:ascii="Arial" w:hAnsi="Arial" w:cs="Arial"/>
                <w:sz w:val="16"/>
                <w:szCs w:val="16"/>
                <w:lang w:eastAsia="en-NZ"/>
              </w:rPr>
            </w:pPr>
            <w:r w:rsidRPr="0013311A">
              <w:rPr>
                <w:rFonts w:ascii="Arial" w:hAnsi="Arial" w:cs="Arial"/>
                <w:sz w:val="16"/>
                <w:szCs w:val="16"/>
                <w:lang w:eastAsia="en-NZ"/>
              </w:rPr>
              <w:t>Coal – lignite</w:t>
            </w:r>
          </w:p>
        </w:tc>
        <w:tc>
          <w:tcPr>
            <w:tcW w:w="1276" w:type="dxa"/>
            <w:tcBorders>
              <w:top w:val="nil"/>
              <w:left w:val="nil"/>
              <w:bottom w:val="single" w:sz="8" w:space="0" w:color="auto"/>
              <w:right w:val="single" w:sz="8" w:space="0" w:color="auto"/>
            </w:tcBorders>
            <w:shd w:val="clear" w:color="auto" w:fill="auto"/>
            <w:hideMark/>
          </w:tcPr>
          <w:p w:rsidR="005A3D15" w:rsidRPr="0013311A" w:rsidRDefault="005A3D15" w:rsidP="0032465A">
            <w:pPr>
              <w:spacing w:before="60" w:after="60"/>
              <w:jc w:val="left"/>
              <w:rPr>
                <w:rFonts w:ascii="Arial" w:hAnsi="Arial" w:cs="Arial"/>
                <w:sz w:val="16"/>
                <w:szCs w:val="16"/>
                <w:lang w:eastAsia="en-NZ"/>
              </w:rPr>
            </w:pPr>
            <w:r w:rsidRPr="0013311A">
              <w:rPr>
                <w:rFonts w:ascii="Arial" w:hAnsi="Arial" w:cs="Arial"/>
                <w:sz w:val="16"/>
                <w:szCs w:val="16"/>
                <w:lang w:eastAsia="en-NZ"/>
              </w:rPr>
              <w:t>Commercial</w:t>
            </w:r>
          </w:p>
        </w:tc>
        <w:tc>
          <w:tcPr>
            <w:tcW w:w="567" w:type="dxa"/>
            <w:tcBorders>
              <w:top w:val="nil"/>
              <w:left w:val="nil"/>
              <w:bottom w:val="single" w:sz="8" w:space="0" w:color="auto"/>
              <w:right w:val="single" w:sz="8" w:space="0" w:color="auto"/>
            </w:tcBorders>
            <w:shd w:val="clear" w:color="auto" w:fill="auto"/>
            <w:hideMark/>
          </w:tcPr>
          <w:p w:rsidR="005A3D15" w:rsidRPr="0013311A" w:rsidRDefault="005A3D15" w:rsidP="0032465A">
            <w:pPr>
              <w:spacing w:before="60" w:after="60"/>
              <w:jc w:val="left"/>
              <w:rPr>
                <w:rFonts w:ascii="Arial" w:hAnsi="Arial" w:cs="Arial"/>
                <w:sz w:val="16"/>
                <w:szCs w:val="16"/>
                <w:lang w:eastAsia="en-NZ"/>
              </w:rPr>
            </w:pPr>
            <w:r w:rsidRPr="0013311A">
              <w:rPr>
                <w:rFonts w:ascii="Arial" w:hAnsi="Arial" w:cs="Arial"/>
                <w:sz w:val="16"/>
                <w:szCs w:val="16"/>
                <w:lang w:eastAsia="en-NZ"/>
              </w:rPr>
              <w:t>Kg</w:t>
            </w:r>
          </w:p>
        </w:tc>
        <w:tc>
          <w:tcPr>
            <w:tcW w:w="992" w:type="dxa"/>
            <w:tcBorders>
              <w:top w:val="nil"/>
              <w:left w:val="nil"/>
              <w:bottom w:val="single" w:sz="8" w:space="0" w:color="auto"/>
              <w:right w:val="nil"/>
            </w:tcBorders>
            <w:shd w:val="clear" w:color="auto" w:fill="auto"/>
            <w:noWrap/>
            <w:vAlign w:val="bottom"/>
          </w:tcPr>
          <w:p w:rsidR="005A3D15" w:rsidRPr="0013311A" w:rsidRDefault="005A3D15" w:rsidP="00700224">
            <w:pPr>
              <w:spacing w:before="60" w:after="60"/>
              <w:jc w:val="right"/>
              <w:rPr>
                <w:rFonts w:ascii="Arial" w:hAnsi="Arial" w:cs="Arial"/>
                <w:sz w:val="16"/>
                <w:szCs w:val="16"/>
                <w:lang w:eastAsia="en-NZ"/>
              </w:rPr>
            </w:pPr>
            <w:r w:rsidRPr="0013311A">
              <w:rPr>
                <w:rFonts w:ascii="Arial" w:hAnsi="Arial" w:cs="Arial"/>
                <w:sz w:val="16"/>
                <w:szCs w:val="16"/>
              </w:rPr>
              <w:t>1.43</w:t>
            </w:r>
          </w:p>
        </w:tc>
        <w:tc>
          <w:tcPr>
            <w:tcW w:w="1028" w:type="dxa"/>
            <w:tcBorders>
              <w:top w:val="nil"/>
              <w:left w:val="single" w:sz="8" w:space="0" w:color="auto"/>
              <w:bottom w:val="single" w:sz="8" w:space="0" w:color="auto"/>
              <w:right w:val="nil"/>
            </w:tcBorders>
            <w:shd w:val="clear" w:color="auto" w:fill="auto"/>
            <w:noWrap/>
            <w:vAlign w:val="bottom"/>
          </w:tcPr>
          <w:p w:rsidR="005A3D15" w:rsidRPr="0013311A" w:rsidRDefault="005A3D15" w:rsidP="00700224">
            <w:pPr>
              <w:spacing w:before="60" w:after="60"/>
              <w:jc w:val="right"/>
              <w:rPr>
                <w:rFonts w:ascii="Arial" w:hAnsi="Arial" w:cs="Arial"/>
                <w:sz w:val="16"/>
                <w:szCs w:val="16"/>
                <w:lang w:eastAsia="en-NZ"/>
              </w:rPr>
            </w:pPr>
            <w:r w:rsidRPr="0013311A">
              <w:rPr>
                <w:rFonts w:ascii="Arial" w:hAnsi="Arial" w:cs="Arial"/>
                <w:sz w:val="16"/>
                <w:szCs w:val="16"/>
              </w:rPr>
              <w:t>1.42</w:t>
            </w:r>
          </w:p>
        </w:tc>
        <w:tc>
          <w:tcPr>
            <w:tcW w:w="983" w:type="dxa"/>
            <w:tcBorders>
              <w:top w:val="nil"/>
              <w:left w:val="single" w:sz="8" w:space="0" w:color="auto"/>
              <w:bottom w:val="single" w:sz="8" w:space="0" w:color="auto"/>
              <w:right w:val="single" w:sz="8" w:space="0" w:color="auto"/>
            </w:tcBorders>
            <w:shd w:val="clear" w:color="auto" w:fill="auto"/>
            <w:noWrap/>
            <w:vAlign w:val="bottom"/>
          </w:tcPr>
          <w:p w:rsidR="005A3D15" w:rsidRPr="0013311A" w:rsidRDefault="005A3D15" w:rsidP="00700224">
            <w:pPr>
              <w:spacing w:before="60" w:after="60"/>
              <w:jc w:val="right"/>
              <w:rPr>
                <w:rFonts w:ascii="Arial" w:hAnsi="Arial" w:cs="Arial"/>
                <w:sz w:val="16"/>
                <w:szCs w:val="16"/>
                <w:lang w:eastAsia="en-NZ"/>
              </w:rPr>
            </w:pPr>
            <w:r w:rsidRPr="0013311A">
              <w:rPr>
                <w:rFonts w:ascii="Arial" w:hAnsi="Arial" w:cs="Arial"/>
                <w:sz w:val="16"/>
                <w:szCs w:val="16"/>
              </w:rPr>
              <w:t>0.00363</w:t>
            </w:r>
          </w:p>
        </w:tc>
        <w:tc>
          <w:tcPr>
            <w:tcW w:w="1107" w:type="dxa"/>
            <w:tcBorders>
              <w:top w:val="nil"/>
              <w:left w:val="nil"/>
              <w:bottom w:val="single" w:sz="8" w:space="0" w:color="auto"/>
              <w:right w:val="nil"/>
            </w:tcBorders>
            <w:shd w:val="clear" w:color="auto" w:fill="auto"/>
            <w:noWrap/>
            <w:vAlign w:val="bottom"/>
          </w:tcPr>
          <w:p w:rsidR="005A3D15" w:rsidRPr="0013311A" w:rsidRDefault="005A3D15" w:rsidP="00700224">
            <w:pPr>
              <w:spacing w:before="60" w:after="60"/>
              <w:jc w:val="right"/>
              <w:rPr>
                <w:rFonts w:ascii="Arial" w:hAnsi="Arial" w:cs="Arial"/>
                <w:sz w:val="16"/>
                <w:szCs w:val="16"/>
              </w:rPr>
            </w:pPr>
            <w:r w:rsidRPr="0013311A">
              <w:rPr>
                <w:rFonts w:ascii="Arial" w:hAnsi="Arial" w:cs="Arial"/>
                <w:sz w:val="16"/>
                <w:szCs w:val="16"/>
              </w:rPr>
              <w:t>0.00648</w:t>
            </w:r>
          </w:p>
        </w:tc>
        <w:tc>
          <w:tcPr>
            <w:tcW w:w="993" w:type="dxa"/>
            <w:tcBorders>
              <w:top w:val="nil"/>
              <w:left w:val="single" w:sz="8" w:space="0" w:color="auto"/>
              <w:bottom w:val="single" w:sz="8" w:space="0" w:color="auto"/>
              <w:right w:val="single" w:sz="8" w:space="0" w:color="auto"/>
            </w:tcBorders>
            <w:shd w:val="clear" w:color="auto" w:fill="auto"/>
            <w:noWrap/>
            <w:vAlign w:val="bottom"/>
          </w:tcPr>
          <w:p w:rsidR="005A3D15" w:rsidRPr="0013311A" w:rsidRDefault="005A3D15" w:rsidP="00700224">
            <w:pPr>
              <w:spacing w:before="60" w:after="60"/>
              <w:jc w:val="right"/>
              <w:rPr>
                <w:rFonts w:ascii="Arial" w:hAnsi="Arial" w:cs="Arial"/>
                <w:sz w:val="16"/>
                <w:szCs w:val="16"/>
                <w:lang w:eastAsia="en-NZ"/>
              </w:rPr>
            </w:pPr>
            <w:r w:rsidRPr="0013311A">
              <w:rPr>
                <w:rFonts w:ascii="Arial" w:hAnsi="Arial" w:cs="Arial"/>
                <w:sz w:val="16"/>
                <w:szCs w:val="16"/>
              </w:rPr>
              <w:t>3.5%</w:t>
            </w:r>
          </w:p>
        </w:tc>
      </w:tr>
      <w:tr w:rsidR="005A3D15" w:rsidRPr="00D01DD3" w:rsidTr="00EE0B09">
        <w:trPr>
          <w:trHeight w:val="249"/>
        </w:trPr>
        <w:tc>
          <w:tcPr>
            <w:tcW w:w="1527" w:type="dxa"/>
            <w:tcBorders>
              <w:top w:val="nil"/>
              <w:left w:val="single" w:sz="8" w:space="0" w:color="auto"/>
              <w:bottom w:val="single" w:sz="8" w:space="0" w:color="auto"/>
              <w:right w:val="single" w:sz="8" w:space="0" w:color="auto"/>
            </w:tcBorders>
            <w:shd w:val="clear" w:color="auto" w:fill="auto"/>
            <w:hideMark/>
          </w:tcPr>
          <w:p w:rsidR="005A3D15" w:rsidRPr="0013311A" w:rsidRDefault="005A3D15" w:rsidP="00700224">
            <w:pPr>
              <w:spacing w:before="60" w:after="60"/>
              <w:jc w:val="left"/>
              <w:rPr>
                <w:rFonts w:ascii="Arial" w:hAnsi="Arial" w:cs="Arial"/>
                <w:sz w:val="16"/>
                <w:szCs w:val="16"/>
                <w:lang w:eastAsia="en-NZ"/>
              </w:rPr>
            </w:pPr>
            <w:r w:rsidRPr="0013311A">
              <w:rPr>
                <w:rFonts w:ascii="Arial" w:hAnsi="Arial" w:cs="Arial"/>
                <w:sz w:val="16"/>
                <w:szCs w:val="16"/>
                <w:lang w:eastAsia="en-NZ"/>
              </w:rPr>
              <w:t>Coal – default*</w:t>
            </w:r>
          </w:p>
        </w:tc>
        <w:tc>
          <w:tcPr>
            <w:tcW w:w="1276" w:type="dxa"/>
            <w:tcBorders>
              <w:top w:val="nil"/>
              <w:left w:val="nil"/>
              <w:bottom w:val="single" w:sz="8" w:space="0" w:color="auto"/>
              <w:right w:val="single" w:sz="8" w:space="0" w:color="auto"/>
            </w:tcBorders>
            <w:shd w:val="clear" w:color="auto" w:fill="auto"/>
            <w:hideMark/>
          </w:tcPr>
          <w:p w:rsidR="005A3D15" w:rsidRPr="0013311A" w:rsidRDefault="005A3D15" w:rsidP="0032465A">
            <w:pPr>
              <w:spacing w:before="60" w:after="60"/>
              <w:jc w:val="left"/>
              <w:rPr>
                <w:rFonts w:ascii="Arial" w:hAnsi="Arial" w:cs="Arial"/>
                <w:sz w:val="16"/>
                <w:szCs w:val="16"/>
                <w:lang w:eastAsia="en-NZ"/>
              </w:rPr>
            </w:pPr>
            <w:r w:rsidRPr="0013311A">
              <w:rPr>
                <w:rFonts w:ascii="Arial" w:hAnsi="Arial" w:cs="Arial"/>
                <w:sz w:val="16"/>
                <w:szCs w:val="16"/>
                <w:lang w:eastAsia="en-NZ"/>
              </w:rPr>
              <w:t>Commercial</w:t>
            </w:r>
          </w:p>
        </w:tc>
        <w:tc>
          <w:tcPr>
            <w:tcW w:w="567" w:type="dxa"/>
            <w:tcBorders>
              <w:top w:val="nil"/>
              <w:left w:val="nil"/>
              <w:bottom w:val="single" w:sz="8" w:space="0" w:color="auto"/>
              <w:right w:val="single" w:sz="8" w:space="0" w:color="auto"/>
            </w:tcBorders>
            <w:shd w:val="clear" w:color="auto" w:fill="auto"/>
            <w:hideMark/>
          </w:tcPr>
          <w:p w:rsidR="005A3D15" w:rsidRPr="0013311A" w:rsidRDefault="005A3D15" w:rsidP="0032465A">
            <w:pPr>
              <w:spacing w:before="60" w:after="60"/>
              <w:jc w:val="left"/>
              <w:rPr>
                <w:rFonts w:ascii="Arial" w:hAnsi="Arial" w:cs="Arial"/>
                <w:sz w:val="16"/>
                <w:szCs w:val="16"/>
                <w:lang w:eastAsia="en-NZ"/>
              </w:rPr>
            </w:pPr>
            <w:r w:rsidRPr="0013311A">
              <w:rPr>
                <w:rFonts w:ascii="Arial" w:hAnsi="Arial" w:cs="Arial"/>
                <w:sz w:val="16"/>
                <w:szCs w:val="16"/>
                <w:lang w:eastAsia="en-NZ"/>
              </w:rPr>
              <w:t>Kg</w:t>
            </w:r>
          </w:p>
        </w:tc>
        <w:tc>
          <w:tcPr>
            <w:tcW w:w="992" w:type="dxa"/>
            <w:tcBorders>
              <w:top w:val="nil"/>
              <w:left w:val="nil"/>
              <w:bottom w:val="single" w:sz="8" w:space="0" w:color="auto"/>
              <w:right w:val="nil"/>
            </w:tcBorders>
            <w:shd w:val="clear" w:color="auto" w:fill="auto"/>
            <w:noWrap/>
            <w:vAlign w:val="bottom"/>
          </w:tcPr>
          <w:p w:rsidR="005A3D15" w:rsidRPr="0013311A" w:rsidRDefault="005A3D15" w:rsidP="00700224">
            <w:pPr>
              <w:spacing w:before="60" w:after="60"/>
              <w:jc w:val="right"/>
              <w:rPr>
                <w:rFonts w:ascii="Arial" w:hAnsi="Arial" w:cs="Arial"/>
                <w:sz w:val="16"/>
                <w:szCs w:val="16"/>
                <w:lang w:eastAsia="en-NZ"/>
              </w:rPr>
            </w:pPr>
            <w:r w:rsidRPr="0013311A">
              <w:rPr>
                <w:rFonts w:ascii="Arial" w:hAnsi="Arial" w:cs="Arial"/>
                <w:sz w:val="16"/>
                <w:szCs w:val="16"/>
              </w:rPr>
              <w:t>1.95</w:t>
            </w:r>
          </w:p>
        </w:tc>
        <w:tc>
          <w:tcPr>
            <w:tcW w:w="1028" w:type="dxa"/>
            <w:tcBorders>
              <w:top w:val="nil"/>
              <w:left w:val="single" w:sz="8" w:space="0" w:color="auto"/>
              <w:bottom w:val="single" w:sz="8" w:space="0" w:color="auto"/>
              <w:right w:val="nil"/>
            </w:tcBorders>
            <w:shd w:val="clear" w:color="auto" w:fill="auto"/>
            <w:noWrap/>
            <w:vAlign w:val="bottom"/>
          </w:tcPr>
          <w:p w:rsidR="005A3D15" w:rsidRPr="0013311A" w:rsidRDefault="005A3D15" w:rsidP="00700224">
            <w:pPr>
              <w:spacing w:before="60" w:after="60"/>
              <w:jc w:val="right"/>
              <w:rPr>
                <w:rFonts w:ascii="Arial" w:hAnsi="Arial" w:cs="Arial"/>
                <w:sz w:val="16"/>
                <w:szCs w:val="16"/>
                <w:lang w:eastAsia="en-NZ"/>
              </w:rPr>
            </w:pPr>
            <w:r w:rsidRPr="0013311A">
              <w:rPr>
                <w:rFonts w:ascii="Arial" w:hAnsi="Arial" w:cs="Arial"/>
                <w:sz w:val="16"/>
                <w:szCs w:val="16"/>
              </w:rPr>
              <w:t>1.94</w:t>
            </w:r>
          </w:p>
        </w:tc>
        <w:tc>
          <w:tcPr>
            <w:tcW w:w="983" w:type="dxa"/>
            <w:tcBorders>
              <w:top w:val="nil"/>
              <w:left w:val="single" w:sz="8" w:space="0" w:color="auto"/>
              <w:bottom w:val="single" w:sz="8" w:space="0" w:color="auto"/>
              <w:right w:val="single" w:sz="8" w:space="0" w:color="auto"/>
            </w:tcBorders>
            <w:shd w:val="clear" w:color="auto" w:fill="auto"/>
            <w:noWrap/>
            <w:vAlign w:val="bottom"/>
          </w:tcPr>
          <w:p w:rsidR="005A3D15" w:rsidRPr="0013311A" w:rsidRDefault="005A3D15" w:rsidP="00700224">
            <w:pPr>
              <w:spacing w:before="60" w:after="60"/>
              <w:jc w:val="right"/>
              <w:rPr>
                <w:rFonts w:ascii="Arial" w:hAnsi="Arial" w:cs="Arial"/>
                <w:sz w:val="16"/>
                <w:szCs w:val="16"/>
                <w:lang w:eastAsia="en-NZ"/>
              </w:rPr>
            </w:pPr>
            <w:r w:rsidRPr="0013311A">
              <w:rPr>
                <w:rFonts w:ascii="Arial" w:hAnsi="Arial" w:cs="Arial"/>
                <w:sz w:val="16"/>
                <w:szCs w:val="16"/>
              </w:rPr>
              <w:t>0.00500</w:t>
            </w:r>
          </w:p>
        </w:tc>
        <w:tc>
          <w:tcPr>
            <w:tcW w:w="1107" w:type="dxa"/>
            <w:tcBorders>
              <w:top w:val="nil"/>
              <w:left w:val="nil"/>
              <w:bottom w:val="single" w:sz="8" w:space="0" w:color="auto"/>
              <w:right w:val="nil"/>
            </w:tcBorders>
            <w:shd w:val="clear" w:color="auto" w:fill="auto"/>
            <w:noWrap/>
            <w:vAlign w:val="bottom"/>
          </w:tcPr>
          <w:p w:rsidR="005A3D15" w:rsidRPr="0013311A" w:rsidRDefault="005A3D15" w:rsidP="00700224">
            <w:pPr>
              <w:spacing w:before="60" w:after="60"/>
              <w:jc w:val="right"/>
              <w:rPr>
                <w:rFonts w:ascii="Arial" w:hAnsi="Arial" w:cs="Arial"/>
                <w:sz w:val="16"/>
                <w:szCs w:val="16"/>
              </w:rPr>
            </w:pPr>
            <w:r w:rsidRPr="0013311A">
              <w:rPr>
                <w:rFonts w:ascii="Arial" w:hAnsi="Arial" w:cs="Arial"/>
                <w:sz w:val="16"/>
                <w:szCs w:val="16"/>
              </w:rPr>
              <w:t>0.00894</w:t>
            </w:r>
          </w:p>
        </w:tc>
        <w:tc>
          <w:tcPr>
            <w:tcW w:w="993" w:type="dxa"/>
            <w:tcBorders>
              <w:top w:val="nil"/>
              <w:left w:val="single" w:sz="8" w:space="0" w:color="auto"/>
              <w:bottom w:val="single" w:sz="8" w:space="0" w:color="auto"/>
              <w:right w:val="single" w:sz="8" w:space="0" w:color="auto"/>
            </w:tcBorders>
            <w:shd w:val="clear" w:color="auto" w:fill="auto"/>
            <w:noWrap/>
            <w:vAlign w:val="bottom"/>
          </w:tcPr>
          <w:p w:rsidR="005A3D15" w:rsidRPr="0013311A" w:rsidRDefault="005A3D15" w:rsidP="00700224">
            <w:pPr>
              <w:spacing w:before="60" w:after="60"/>
              <w:jc w:val="right"/>
              <w:rPr>
                <w:rFonts w:ascii="Arial" w:hAnsi="Arial" w:cs="Arial"/>
                <w:sz w:val="16"/>
                <w:szCs w:val="16"/>
                <w:lang w:eastAsia="en-NZ"/>
              </w:rPr>
            </w:pPr>
            <w:r w:rsidRPr="0013311A">
              <w:rPr>
                <w:rFonts w:ascii="Arial" w:hAnsi="Arial" w:cs="Arial"/>
                <w:sz w:val="16"/>
                <w:szCs w:val="16"/>
              </w:rPr>
              <w:t>3.5%</w:t>
            </w:r>
          </w:p>
        </w:tc>
      </w:tr>
      <w:tr w:rsidR="005A3D15" w:rsidRPr="00D01DD3" w:rsidTr="00EE0B09">
        <w:trPr>
          <w:trHeight w:val="163"/>
        </w:trPr>
        <w:tc>
          <w:tcPr>
            <w:tcW w:w="1527" w:type="dxa"/>
            <w:tcBorders>
              <w:top w:val="nil"/>
              <w:left w:val="single" w:sz="8" w:space="0" w:color="auto"/>
              <w:bottom w:val="single" w:sz="8" w:space="0" w:color="auto"/>
              <w:right w:val="single" w:sz="8" w:space="0" w:color="auto"/>
            </w:tcBorders>
            <w:shd w:val="clear" w:color="auto" w:fill="auto"/>
            <w:hideMark/>
          </w:tcPr>
          <w:p w:rsidR="005A3D15" w:rsidRPr="0013311A" w:rsidRDefault="005A3D15" w:rsidP="00700224">
            <w:pPr>
              <w:spacing w:before="60" w:after="60"/>
              <w:jc w:val="left"/>
              <w:rPr>
                <w:rFonts w:ascii="Arial" w:hAnsi="Arial" w:cs="Arial"/>
                <w:sz w:val="16"/>
                <w:szCs w:val="16"/>
                <w:lang w:eastAsia="en-NZ"/>
              </w:rPr>
            </w:pPr>
            <w:r w:rsidRPr="0013311A">
              <w:rPr>
                <w:rFonts w:ascii="Arial" w:hAnsi="Arial" w:cs="Arial"/>
                <w:sz w:val="16"/>
                <w:szCs w:val="16"/>
                <w:lang w:eastAsia="en-NZ"/>
              </w:rPr>
              <w:t>Diesel</w:t>
            </w:r>
          </w:p>
        </w:tc>
        <w:tc>
          <w:tcPr>
            <w:tcW w:w="1276" w:type="dxa"/>
            <w:tcBorders>
              <w:top w:val="nil"/>
              <w:left w:val="nil"/>
              <w:bottom w:val="single" w:sz="8" w:space="0" w:color="auto"/>
              <w:right w:val="single" w:sz="8" w:space="0" w:color="auto"/>
            </w:tcBorders>
            <w:shd w:val="clear" w:color="auto" w:fill="auto"/>
            <w:hideMark/>
          </w:tcPr>
          <w:p w:rsidR="005A3D15" w:rsidRPr="0013311A" w:rsidRDefault="005A3D15" w:rsidP="0032465A">
            <w:pPr>
              <w:spacing w:before="60" w:after="60"/>
              <w:jc w:val="left"/>
              <w:rPr>
                <w:rFonts w:ascii="Arial" w:hAnsi="Arial" w:cs="Arial"/>
                <w:sz w:val="16"/>
                <w:szCs w:val="16"/>
                <w:lang w:eastAsia="en-NZ"/>
              </w:rPr>
            </w:pPr>
            <w:r w:rsidRPr="0013311A">
              <w:rPr>
                <w:rFonts w:ascii="Arial" w:hAnsi="Arial" w:cs="Arial"/>
                <w:sz w:val="16"/>
                <w:szCs w:val="16"/>
                <w:lang w:eastAsia="en-NZ"/>
              </w:rPr>
              <w:t>Commercial</w:t>
            </w:r>
          </w:p>
        </w:tc>
        <w:tc>
          <w:tcPr>
            <w:tcW w:w="567" w:type="dxa"/>
            <w:tcBorders>
              <w:top w:val="nil"/>
              <w:left w:val="nil"/>
              <w:bottom w:val="single" w:sz="8" w:space="0" w:color="auto"/>
              <w:right w:val="single" w:sz="8" w:space="0" w:color="auto"/>
            </w:tcBorders>
            <w:shd w:val="clear" w:color="auto" w:fill="auto"/>
            <w:hideMark/>
          </w:tcPr>
          <w:p w:rsidR="005A3D15" w:rsidRPr="0013311A" w:rsidRDefault="005A3D15" w:rsidP="0032465A">
            <w:pPr>
              <w:spacing w:before="60" w:after="60"/>
              <w:jc w:val="left"/>
              <w:rPr>
                <w:rFonts w:ascii="Arial" w:hAnsi="Arial" w:cs="Arial"/>
                <w:sz w:val="16"/>
                <w:szCs w:val="16"/>
                <w:lang w:eastAsia="en-NZ"/>
              </w:rPr>
            </w:pPr>
            <w:r w:rsidRPr="0013311A">
              <w:rPr>
                <w:rFonts w:ascii="Arial" w:hAnsi="Arial" w:cs="Arial"/>
                <w:sz w:val="16"/>
                <w:szCs w:val="16"/>
                <w:lang w:eastAsia="en-NZ"/>
              </w:rPr>
              <w:t>Litre</w:t>
            </w:r>
          </w:p>
        </w:tc>
        <w:tc>
          <w:tcPr>
            <w:tcW w:w="992" w:type="dxa"/>
            <w:tcBorders>
              <w:top w:val="nil"/>
              <w:left w:val="nil"/>
              <w:bottom w:val="single" w:sz="8" w:space="0" w:color="auto"/>
              <w:right w:val="nil"/>
            </w:tcBorders>
            <w:shd w:val="clear" w:color="auto" w:fill="auto"/>
            <w:noWrap/>
            <w:vAlign w:val="bottom"/>
          </w:tcPr>
          <w:p w:rsidR="005A3D15" w:rsidRPr="0013311A" w:rsidRDefault="005A3D15" w:rsidP="00700224">
            <w:pPr>
              <w:spacing w:before="60" w:after="60"/>
              <w:jc w:val="right"/>
              <w:rPr>
                <w:rFonts w:ascii="Arial" w:hAnsi="Arial" w:cs="Arial"/>
                <w:sz w:val="16"/>
                <w:szCs w:val="16"/>
                <w:lang w:eastAsia="en-NZ"/>
              </w:rPr>
            </w:pPr>
            <w:r w:rsidRPr="0013311A">
              <w:rPr>
                <w:rFonts w:ascii="Arial" w:hAnsi="Arial" w:cs="Arial"/>
                <w:sz w:val="16"/>
                <w:szCs w:val="16"/>
              </w:rPr>
              <w:t>2.69</w:t>
            </w:r>
          </w:p>
        </w:tc>
        <w:tc>
          <w:tcPr>
            <w:tcW w:w="1028" w:type="dxa"/>
            <w:tcBorders>
              <w:top w:val="nil"/>
              <w:left w:val="single" w:sz="8" w:space="0" w:color="auto"/>
              <w:bottom w:val="single" w:sz="8" w:space="0" w:color="auto"/>
              <w:right w:val="nil"/>
            </w:tcBorders>
            <w:shd w:val="clear" w:color="auto" w:fill="auto"/>
            <w:noWrap/>
            <w:vAlign w:val="bottom"/>
          </w:tcPr>
          <w:p w:rsidR="005A3D15" w:rsidRPr="0013311A" w:rsidRDefault="005A3D15" w:rsidP="00700224">
            <w:pPr>
              <w:spacing w:before="60" w:after="60"/>
              <w:jc w:val="right"/>
              <w:rPr>
                <w:rFonts w:ascii="Arial" w:hAnsi="Arial" w:cs="Arial"/>
                <w:sz w:val="16"/>
                <w:szCs w:val="16"/>
                <w:lang w:eastAsia="en-NZ"/>
              </w:rPr>
            </w:pPr>
            <w:r w:rsidRPr="0013311A">
              <w:rPr>
                <w:rFonts w:ascii="Arial" w:hAnsi="Arial" w:cs="Arial"/>
                <w:sz w:val="16"/>
                <w:szCs w:val="16"/>
              </w:rPr>
              <w:t>2.67</w:t>
            </w:r>
          </w:p>
        </w:tc>
        <w:tc>
          <w:tcPr>
            <w:tcW w:w="983" w:type="dxa"/>
            <w:tcBorders>
              <w:top w:val="nil"/>
              <w:left w:val="single" w:sz="8" w:space="0" w:color="auto"/>
              <w:bottom w:val="single" w:sz="8" w:space="0" w:color="auto"/>
              <w:right w:val="single" w:sz="8" w:space="0" w:color="auto"/>
            </w:tcBorders>
            <w:shd w:val="clear" w:color="auto" w:fill="auto"/>
            <w:noWrap/>
            <w:vAlign w:val="bottom"/>
          </w:tcPr>
          <w:p w:rsidR="005A3D15" w:rsidRPr="0013311A" w:rsidRDefault="005A3D15" w:rsidP="00700224">
            <w:pPr>
              <w:spacing w:before="60" w:after="60"/>
              <w:jc w:val="right"/>
              <w:rPr>
                <w:rFonts w:ascii="Arial" w:hAnsi="Arial" w:cs="Arial"/>
                <w:sz w:val="16"/>
                <w:szCs w:val="16"/>
                <w:lang w:eastAsia="en-NZ"/>
              </w:rPr>
            </w:pPr>
            <w:r w:rsidRPr="0013311A">
              <w:rPr>
                <w:rFonts w:ascii="Arial" w:hAnsi="Arial" w:cs="Arial"/>
                <w:sz w:val="16"/>
                <w:szCs w:val="16"/>
              </w:rPr>
              <w:t>0.00912</w:t>
            </w:r>
          </w:p>
        </w:tc>
        <w:tc>
          <w:tcPr>
            <w:tcW w:w="1107" w:type="dxa"/>
            <w:tcBorders>
              <w:top w:val="nil"/>
              <w:left w:val="nil"/>
              <w:bottom w:val="single" w:sz="8" w:space="0" w:color="auto"/>
              <w:right w:val="nil"/>
            </w:tcBorders>
            <w:shd w:val="clear" w:color="auto" w:fill="auto"/>
            <w:noWrap/>
            <w:vAlign w:val="bottom"/>
          </w:tcPr>
          <w:p w:rsidR="005A3D15" w:rsidRPr="0013311A" w:rsidRDefault="005A3D15" w:rsidP="00700224">
            <w:pPr>
              <w:spacing w:before="60" w:after="60"/>
              <w:jc w:val="right"/>
              <w:rPr>
                <w:rFonts w:ascii="Arial" w:hAnsi="Arial" w:cs="Arial"/>
                <w:sz w:val="16"/>
                <w:szCs w:val="16"/>
                <w:lang w:eastAsia="en-NZ"/>
              </w:rPr>
            </w:pPr>
            <w:r w:rsidRPr="0013311A">
              <w:rPr>
                <w:rFonts w:ascii="Arial" w:hAnsi="Arial" w:cs="Arial"/>
                <w:sz w:val="16"/>
                <w:szCs w:val="16"/>
              </w:rPr>
              <w:t>0.00652</w:t>
            </w:r>
          </w:p>
        </w:tc>
        <w:tc>
          <w:tcPr>
            <w:tcW w:w="993" w:type="dxa"/>
            <w:tcBorders>
              <w:top w:val="nil"/>
              <w:left w:val="single" w:sz="8" w:space="0" w:color="auto"/>
              <w:bottom w:val="single" w:sz="8" w:space="0" w:color="auto"/>
              <w:right w:val="single" w:sz="8" w:space="0" w:color="auto"/>
            </w:tcBorders>
            <w:shd w:val="clear" w:color="auto" w:fill="auto"/>
            <w:noWrap/>
            <w:vAlign w:val="bottom"/>
          </w:tcPr>
          <w:p w:rsidR="005A3D15" w:rsidRPr="0013311A" w:rsidRDefault="005A3D15" w:rsidP="00700224">
            <w:pPr>
              <w:spacing w:before="60" w:after="60"/>
              <w:jc w:val="right"/>
              <w:rPr>
                <w:rFonts w:ascii="Arial" w:hAnsi="Arial" w:cs="Arial"/>
                <w:sz w:val="16"/>
                <w:szCs w:val="16"/>
                <w:lang w:eastAsia="en-NZ"/>
              </w:rPr>
            </w:pPr>
            <w:r w:rsidRPr="0013311A">
              <w:rPr>
                <w:rFonts w:ascii="Arial" w:hAnsi="Arial" w:cs="Arial"/>
                <w:sz w:val="16"/>
                <w:szCs w:val="16"/>
              </w:rPr>
              <w:t>0.5%</w:t>
            </w:r>
          </w:p>
        </w:tc>
      </w:tr>
      <w:tr w:rsidR="005A3D15" w:rsidRPr="00D01DD3" w:rsidTr="00EE0B09">
        <w:trPr>
          <w:trHeight w:val="163"/>
        </w:trPr>
        <w:tc>
          <w:tcPr>
            <w:tcW w:w="1527" w:type="dxa"/>
            <w:tcBorders>
              <w:top w:val="nil"/>
              <w:left w:val="single" w:sz="8" w:space="0" w:color="auto"/>
              <w:bottom w:val="single" w:sz="8" w:space="0" w:color="auto"/>
              <w:right w:val="single" w:sz="8" w:space="0" w:color="auto"/>
            </w:tcBorders>
            <w:shd w:val="clear" w:color="auto" w:fill="auto"/>
            <w:hideMark/>
          </w:tcPr>
          <w:p w:rsidR="005A3D15" w:rsidRPr="0013311A" w:rsidRDefault="005A3D15" w:rsidP="00700224">
            <w:pPr>
              <w:spacing w:before="60" w:after="60"/>
              <w:jc w:val="left"/>
              <w:rPr>
                <w:rFonts w:ascii="Arial" w:hAnsi="Arial" w:cs="Arial"/>
                <w:sz w:val="16"/>
                <w:szCs w:val="16"/>
                <w:lang w:eastAsia="en-NZ"/>
              </w:rPr>
            </w:pPr>
            <w:r w:rsidRPr="0013311A">
              <w:rPr>
                <w:rFonts w:ascii="Arial" w:hAnsi="Arial" w:cs="Arial"/>
                <w:sz w:val="16"/>
                <w:szCs w:val="16"/>
                <w:lang w:eastAsia="en-NZ"/>
              </w:rPr>
              <w:t>LPG**</w:t>
            </w:r>
          </w:p>
        </w:tc>
        <w:tc>
          <w:tcPr>
            <w:tcW w:w="1276" w:type="dxa"/>
            <w:tcBorders>
              <w:top w:val="nil"/>
              <w:left w:val="nil"/>
              <w:bottom w:val="single" w:sz="8" w:space="0" w:color="auto"/>
              <w:right w:val="single" w:sz="8" w:space="0" w:color="auto"/>
            </w:tcBorders>
            <w:shd w:val="clear" w:color="auto" w:fill="auto"/>
            <w:hideMark/>
          </w:tcPr>
          <w:p w:rsidR="005A3D15" w:rsidRPr="0013311A" w:rsidRDefault="005A3D15" w:rsidP="0032465A">
            <w:pPr>
              <w:spacing w:before="60" w:after="60"/>
              <w:jc w:val="left"/>
              <w:rPr>
                <w:rFonts w:ascii="Arial" w:hAnsi="Arial" w:cs="Arial"/>
                <w:sz w:val="16"/>
                <w:szCs w:val="16"/>
                <w:lang w:eastAsia="en-NZ"/>
              </w:rPr>
            </w:pPr>
            <w:r w:rsidRPr="0013311A">
              <w:rPr>
                <w:rFonts w:ascii="Arial" w:hAnsi="Arial" w:cs="Arial"/>
                <w:sz w:val="16"/>
                <w:szCs w:val="16"/>
                <w:lang w:eastAsia="en-NZ"/>
              </w:rPr>
              <w:t>Commercial</w:t>
            </w:r>
          </w:p>
        </w:tc>
        <w:tc>
          <w:tcPr>
            <w:tcW w:w="567" w:type="dxa"/>
            <w:tcBorders>
              <w:top w:val="nil"/>
              <w:left w:val="nil"/>
              <w:bottom w:val="single" w:sz="8" w:space="0" w:color="auto"/>
              <w:right w:val="single" w:sz="8" w:space="0" w:color="auto"/>
            </w:tcBorders>
            <w:shd w:val="clear" w:color="auto" w:fill="auto"/>
            <w:hideMark/>
          </w:tcPr>
          <w:p w:rsidR="005A3D15" w:rsidRPr="0013311A" w:rsidRDefault="005A3D15" w:rsidP="0032465A">
            <w:pPr>
              <w:spacing w:before="60" w:after="60"/>
              <w:jc w:val="left"/>
              <w:rPr>
                <w:rFonts w:ascii="Arial" w:hAnsi="Arial" w:cs="Arial"/>
                <w:sz w:val="16"/>
                <w:szCs w:val="16"/>
                <w:lang w:eastAsia="en-NZ"/>
              </w:rPr>
            </w:pPr>
            <w:r w:rsidRPr="0013311A">
              <w:rPr>
                <w:rFonts w:ascii="Arial" w:hAnsi="Arial" w:cs="Arial"/>
                <w:sz w:val="16"/>
                <w:szCs w:val="16"/>
                <w:lang w:eastAsia="en-NZ"/>
              </w:rPr>
              <w:t>Kg</w:t>
            </w:r>
          </w:p>
        </w:tc>
        <w:tc>
          <w:tcPr>
            <w:tcW w:w="992" w:type="dxa"/>
            <w:tcBorders>
              <w:top w:val="nil"/>
              <w:left w:val="nil"/>
              <w:bottom w:val="single" w:sz="8" w:space="0" w:color="auto"/>
              <w:right w:val="nil"/>
            </w:tcBorders>
            <w:shd w:val="clear" w:color="auto" w:fill="auto"/>
            <w:noWrap/>
            <w:vAlign w:val="bottom"/>
          </w:tcPr>
          <w:p w:rsidR="005A3D15" w:rsidRPr="0013311A" w:rsidRDefault="005A3D15" w:rsidP="00700224">
            <w:pPr>
              <w:spacing w:before="60" w:after="60"/>
              <w:jc w:val="right"/>
              <w:rPr>
                <w:rFonts w:ascii="Arial" w:hAnsi="Arial" w:cs="Arial"/>
                <w:sz w:val="16"/>
                <w:szCs w:val="16"/>
                <w:lang w:eastAsia="en-NZ"/>
              </w:rPr>
            </w:pPr>
            <w:r w:rsidRPr="0013311A">
              <w:rPr>
                <w:rFonts w:ascii="Arial" w:hAnsi="Arial" w:cs="Arial"/>
                <w:sz w:val="16"/>
                <w:szCs w:val="16"/>
              </w:rPr>
              <w:t>3.03</w:t>
            </w:r>
          </w:p>
        </w:tc>
        <w:tc>
          <w:tcPr>
            <w:tcW w:w="1028" w:type="dxa"/>
            <w:tcBorders>
              <w:top w:val="nil"/>
              <w:left w:val="single" w:sz="8" w:space="0" w:color="auto"/>
              <w:bottom w:val="single" w:sz="8" w:space="0" w:color="auto"/>
              <w:right w:val="nil"/>
            </w:tcBorders>
            <w:shd w:val="clear" w:color="auto" w:fill="auto"/>
            <w:noWrap/>
            <w:vAlign w:val="bottom"/>
          </w:tcPr>
          <w:p w:rsidR="005A3D15" w:rsidRPr="0013311A" w:rsidRDefault="005A3D15" w:rsidP="00700224">
            <w:pPr>
              <w:spacing w:before="60" w:after="60"/>
              <w:jc w:val="right"/>
              <w:rPr>
                <w:rFonts w:ascii="Arial" w:hAnsi="Arial" w:cs="Arial"/>
                <w:sz w:val="16"/>
                <w:szCs w:val="16"/>
                <w:lang w:eastAsia="en-NZ"/>
              </w:rPr>
            </w:pPr>
            <w:r w:rsidRPr="0013311A">
              <w:rPr>
                <w:rFonts w:ascii="Arial" w:hAnsi="Arial" w:cs="Arial"/>
                <w:sz w:val="16"/>
                <w:szCs w:val="16"/>
              </w:rPr>
              <w:t>3.02</w:t>
            </w:r>
          </w:p>
        </w:tc>
        <w:tc>
          <w:tcPr>
            <w:tcW w:w="983" w:type="dxa"/>
            <w:tcBorders>
              <w:top w:val="nil"/>
              <w:left w:val="single" w:sz="8" w:space="0" w:color="auto"/>
              <w:bottom w:val="single" w:sz="8" w:space="0" w:color="auto"/>
              <w:right w:val="single" w:sz="8" w:space="0" w:color="auto"/>
            </w:tcBorders>
            <w:shd w:val="clear" w:color="auto" w:fill="auto"/>
            <w:noWrap/>
            <w:vAlign w:val="bottom"/>
          </w:tcPr>
          <w:p w:rsidR="005A3D15" w:rsidRPr="0013311A" w:rsidRDefault="005A3D15" w:rsidP="00700224">
            <w:pPr>
              <w:spacing w:before="60" w:after="60"/>
              <w:jc w:val="right"/>
              <w:rPr>
                <w:rFonts w:ascii="Arial" w:hAnsi="Arial" w:cs="Arial"/>
                <w:sz w:val="16"/>
                <w:szCs w:val="16"/>
                <w:lang w:eastAsia="en-NZ"/>
              </w:rPr>
            </w:pPr>
            <w:r w:rsidRPr="0013311A">
              <w:rPr>
                <w:rFonts w:ascii="Arial" w:hAnsi="Arial" w:cs="Arial"/>
                <w:sz w:val="16"/>
                <w:szCs w:val="16"/>
              </w:rPr>
              <w:t>0.00594</w:t>
            </w:r>
          </w:p>
        </w:tc>
        <w:tc>
          <w:tcPr>
            <w:tcW w:w="1107" w:type="dxa"/>
            <w:tcBorders>
              <w:top w:val="nil"/>
              <w:left w:val="nil"/>
              <w:bottom w:val="single" w:sz="8" w:space="0" w:color="auto"/>
              <w:right w:val="nil"/>
            </w:tcBorders>
            <w:shd w:val="clear" w:color="auto" w:fill="auto"/>
            <w:noWrap/>
            <w:vAlign w:val="bottom"/>
          </w:tcPr>
          <w:p w:rsidR="005A3D15" w:rsidRPr="0013311A" w:rsidRDefault="005A3D15" w:rsidP="00700224">
            <w:pPr>
              <w:spacing w:before="60" w:after="60"/>
              <w:jc w:val="right"/>
              <w:rPr>
                <w:rFonts w:ascii="Arial" w:hAnsi="Arial" w:cs="Arial"/>
                <w:sz w:val="16"/>
                <w:szCs w:val="16"/>
                <w:lang w:eastAsia="en-NZ"/>
              </w:rPr>
            </w:pPr>
            <w:r w:rsidRPr="0013311A">
              <w:rPr>
                <w:rFonts w:ascii="Arial" w:hAnsi="Arial" w:cs="Arial"/>
                <w:sz w:val="16"/>
                <w:szCs w:val="16"/>
              </w:rPr>
              <w:t>0.00142</w:t>
            </w:r>
          </w:p>
        </w:tc>
        <w:tc>
          <w:tcPr>
            <w:tcW w:w="993" w:type="dxa"/>
            <w:tcBorders>
              <w:top w:val="nil"/>
              <w:left w:val="single" w:sz="8" w:space="0" w:color="auto"/>
              <w:bottom w:val="single" w:sz="8" w:space="0" w:color="auto"/>
              <w:right w:val="single" w:sz="8" w:space="0" w:color="auto"/>
            </w:tcBorders>
            <w:shd w:val="clear" w:color="auto" w:fill="auto"/>
            <w:noWrap/>
            <w:vAlign w:val="bottom"/>
          </w:tcPr>
          <w:p w:rsidR="005A3D15" w:rsidRPr="0013311A" w:rsidRDefault="005A3D15" w:rsidP="00700224">
            <w:pPr>
              <w:spacing w:before="60" w:after="60"/>
              <w:jc w:val="right"/>
              <w:rPr>
                <w:rFonts w:ascii="Arial" w:hAnsi="Arial" w:cs="Arial"/>
                <w:sz w:val="16"/>
                <w:szCs w:val="16"/>
                <w:lang w:eastAsia="en-NZ"/>
              </w:rPr>
            </w:pPr>
            <w:r w:rsidRPr="0013311A">
              <w:rPr>
                <w:rFonts w:ascii="Arial" w:hAnsi="Arial" w:cs="Arial"/>
                <w:sz w:val="16"/>
                <w:szCs w:val="16"/>
              </w:rPr>
              <w:t>0.5%</w:t>
            </w:r>
          </w:p>
        </w:tc>
      </w:tr>
      <w:tr w:rsidR="005A3D15" w:rsidRPr="00D01DD3" w:rsidTr="00EE0B09">
        <w:trPr>
          <w:trHeight w:val="249"/>
        </w:trPr>
        <w:tc>
          <w:tcPr>
            <w:tcW w:w="1527" w:type="dxa"/>
            <w:tcBorders>
              <w:top w:val="nil"/>
              <w:left w:val="single" w:sz="8" w:space="0" w:color="auto"/>
              <w:bottom w:val="single" w:sz="8" w:space="0" w:color="auto"/>
              <w:right w:val="single" w:sz="8" w:space="0" w:color="auto"/>
            </w:tcBorders>
            <w:shd w:val="clear" w:color="auto" w:fill="auto"/>
            <w:hideMark/>
          </w:tcPr>
          <w:p w:rsidR="005A3D15" w:rsidRPr="0013311A" w:rsidRDefault="005A3D15" w:rsidP="00700224">
            <w:pPr>
              <w:spacing w:before="60" w:after="60"/>
              <w:jc w:val="left"/>
              <w:rPr>
                <w:rFonts w:ascii="Arial" w:hAnsi="Arial" w:cs="Arial"/>
                <w:sz w:val="16"/>
                <w:szCs w:val="16"/>
                <w:lang w:eastAsia="en-NZ"/>
              </w:rPr>
            </w:pPr>
            <w:r w:rsidRPr="0013311A">
              <w:rPr>
                <w:rFonts w:ascii="Arial" w:hAnsi="Arial" w:cs="Arial"/>
                <w:sz w:val="16"/>
                <w:szCs w:val="16"/>
                <w:lang w:eastAsia="en-NZ"/>
              </w:rPr>
              <w:t>Heavy fuel oil</w:t>
            </w:r>
          </w:p>
        </w:tc>
        <w:tc>
          <w:tcPr>
            <w:tcW w:w="1276" w:type="dxa"/>
            <w:tcBorders>
              <w:top w:val="nil"/>
              <w:left w:val="nil"/>
              <w:bottom w:val="single" w:sz="8" w:space="0" w:color="auto"/>
              <w:right w:val="single" w:sz="8" w:space="0" w:color="auto"/>
            </w:tcBorders>
            <w:shd w:val="clear" w:color="auto" w:fill="auto"/>
            <w:hideMark/>
          </w:tcPr>
          <w:p w:rsidR="005A3D15" w:rsidRPr="0013311A" w:rsidRDefault="005A3D15" w:rsidP="0032465A">
            <w:pPr>
              <w:spacing w:before="60" w:after="60"/>
              <w:jc w:val="left"/>
              <w:rPr>
                <w:rFonts w:ascii="Arial" w:hAnsi="Arial" w:cs="Arial"/>
                <w:sz w:val="16"/>
                <w:szCs w:val="16"/>
                <w:lang w:eastAsia="en-NZ"/>
              </w:rPr>
            </w:pPr>
            <w:r w:rsidRPr="0013311A">
              <w:rPr>
                <w:rFonts w:ascii="Arial" w:hAnsi="Arial" w:cs="Arial"/>
                <w:sz w:val="16"/>
                <w:szCs w:val="16"/>
                <w:lang w:eastAsia="en-NZ"/>
              </w:rPr>
              <w:t>Commercial</w:t>
            </w:r>
          </w:p>
        </w:tc>
        <w:tc>
          <w:tcPr>
            <w:tcW w:w="567" w:type="dxa"/>
            <w:tcBorders>
              <w:top w:val="nil"/>
              <w:left w:val="nil"/>
              <w:bottom w:val="single" w:sz="8" w:space="0" w:color="auto"/>
              <w:right w:val="single" w:sz="8" w:space="0" w:color="auto"/>
            </w:tcBorders>
            <w:shd w:val="clear" w:color="auto" w:fill="auto"/>
            <w:hideMark/>
          </w:tcPr>
          <w:p w:rsidR="005A3D15" w:rsidRPr="0013311A" w:rsidRDefault="005A3D15" w:rsidP="0032465A">
            <w:pPr>
              <w:spacing w:before="60" w:after="60"/>
              <w:jc w:val="left"/>
              <w:rPr>
                <w:rFonts w:ascii="Arial" w:hAnsi="Arial" w:cs="Arial"/>
                <w:sz w:val="16"/>
                <w:szCs w:val="16"/>
                <w:lang w:eastAsia="en-NZ"/>
              </w:rPr>
            </w:pPr>
            <w:r w:rsidRPr="0013311A">
              <w:rPr>
                <w:rFonts w:ascii="Arial" w:hAnsi="Arial" w:cs="Arial"/>
                <w:sz w:val="16"/>
                <w:szCs w:val="16"/>
                <w:lang w:eastAsia="en-NZ"/>
              </w:rPr>
              <w:t>Litre</w:t>
            </w:r>
          </w:p>
        </w:tc>
        <w:tc>
          <w:tcPr>
            <w:tcW w:w="992" w:type="dxa"/>
            <w:tcBorders>
              <w:top w:val="nil"/>
              <w:left w:val="nil"/>
              <w:bottom w:val="single" w:sz="8" w:space="0" w:color="auto"/>
              <w:right w:val="nil"/>
            </w:tcBorders>
            <w:shd w:val="clear" w:color="auto" w:fill="auto"/>
            <w:noWrap/>
            <w:vAlign w:val="bottom"/>
          </w:tcPr>
          <w:p w:rsidR="005A3D15" w:rsidRPr="0013311A" w:rsidRDefault="005A3D15" w:rsidP="00700224">
            <w:pPr>
              <w:spacing w:before="60" w:after="60"/>
              <w:jc w:val="right"/>
              <w:rPr>
                <w:rFonts w:ascii="Arial" w:hAnsi="Arial" w:cs="Arial"/>
                <w:sz w:val="16"/>
                <w:szCs w:val="16"/>
                <w:lang w:eastAsia="en-NZ"/>
              </w:rPr>
            </w:pPr>
            <w:r w:rsidRPr="0013311A">
              <w:rPr>
                <w:rFonts w:ascii="Arial" w:hAnsi="Arial" w:cs="Arial"/>
                <w:sz w:val="16"/>
                <w:szCs w:val="16"/>
              </w:rPr>
              <w:t>3.02</w:t>
            </w:r>
          </w:p>
        </w:tc>
        <w:tc>
          <w:tcPr>
            <w:tcW w:w="1028" w:type="dxa"/>
            <w:tcBorders>
              <w:top w:val="nil"/>
              <w:left w:val="single" w:sz="8" w:space="0" w:color="auto"/>
              <w:bottom w:val="single" w:sz="8" w:space="0" w:color="auto"/>
              <w:right w:val="nil"/>
            </w:tcBorders>
            <w:shd w:val="clear" w:color="auto" w:fill="auto"/>
            <w:noWrap/>
            <w:vAlign w:val="bottom"/>
          </w:tcPr>
          <w:p w:rsidR="005A3D15" w:rsidRPr="0013311A" w:rsidRDefault="005A3D15" w:rsidP="00700224">
            <w:pPr>
              <w:spacing w:before="60" w:after="60"/>
              <w:jc w:val="right"/>
              <w:rPr>
                <w:rFonts w:ascii="Arial" w:hAnsi="Arial" w:cs="Arial"/>
                <w:sz w:val="16"/>
                <w:szCs w:val="16"/>
                <w:lang w:eastAsia="en-NZ"/>
              </w:rPr>
            </w:pPr>
            <w:r w:rsidRPr="0013311A">
              <w:rPr>
                <w:rFonts w:ascii="Arial" w:hAnsi="Arial" w:cs="Arial"/>
                <w:sz w:val="16"/>
                <w:szCs w:val="16"/>
              </w:rPr>
              <w:t>3.01</w:t>
            </w:r>
          </w:p>
        </w:tc>
        <w:tc>
          <w:tcPr>
            <w:tcW w:w="983" w:type="dxa"/>
            <w:tcBorders>
              <w:top w:val="nil"/>
              <w:left w:val="single" w:sz="8" w:space="0" w:color="auto"/>
              <w:bottom w:val="single" w:sz="8" w:space="0" w:color="auto"/>
              <w:right w:val="single" w:sz="8" w:space="0" w:color="auto"/>
            </w:tcBorders>
            <w:shd w:val="clear" w:color="auto" w:fill="auto"/>
            <w:noWrap/>
            <w:vAlign w:val="bottom"/>
          </w:tcPr>
          <w:p w:rsidR="005A3D15" w:rsidRPr="0013311A" w:rsidRDefault="005A3D15" w:rsidP="00700224">
            <w:pPr>
              <w:spacing w:before="60" w:after="60"/>
              <w:jc w:val="right"/>
              <w:rPr>
                <w:rFonts w:ascii="Arial" w:hAnsi="Arial" w:cs="Arial"/>
                <w:sz w:val="16"/>
                <w:szCs w:val="16"/>
                <w:lang w:eastAsia="en-NZ"/>
              </w:rPr>
            </w:pPr>
            <w:r w:rsidRPr="0013311A">
              <w:rPr>
                <w:rFonts w:ascii="Arial" w:hAnsi="Arial" w:cs="Arial"/>
                <w:sz w:val="16"/>
                <w:szCs w:val="16"/>
              </w:rPr>
              <w:t>0.00969</w:t>
            </w:r>
          </w:p>
        </w:tc>
        <w:tc>
          <w:tcPr>
            <w:tcW w:w="1107" w:type="dxa"/>
            <w:tcBorders>
              <w:top w:val="nil"/>
              <w:left w:val="nil"/>
              <w:bottom w:val="single" w:sz="8" w:space="0" w:color="auto"/>
              <w:right w:val="nil"/>
            </w:tcBorders>
            <w:shd w:val="clear" w:color="auto" w:fill="auto"/>
            <w:noWrap/>
            <w:vAlign w:val="bottom"/>
          </w:tcPr>
          <w:p w:rsidR="005A3D15" w:rsidRPr="0013311A" w:rsidRDefault="005A3D15" w:rsidP="00700224">
            <w:pPr>
              <w:spacing w:before="60" w:after="60"/>
              <w:jc w:val="right"/>
              <w:rPr>
                <w:rFonts w:ascii="Arial" w:hAnsi="Arial" w:cs="Arial"/>
                <w:sz w:val="16"/>
                <w:szCs w:val="16"/>
                <w:lang w:eastAsia="en-NZ"/>
              </w:rPr>
            </w:pPr>
            <w:r w:rsidRPr="0013311A">
              <w:rPr>
                <w:rFonts w:ascii="Arial" w:hAnsi="Arial" w:cs="Arial"/>
                <w:sz w:val="16"/>
                <w:szCs w:val="16"/>
              </w:rPr>
              <w:t>0.00693</w:t>
            </w:r>
          </w:p>
        </w:tc>
        <w:tc>
          <w:tcPr>
            <w:tcW w:w="993" w:type="dxa"/>
            <w:tcBorders>
              <w:top w:val="nil"/>
              <w:left w:val="single" w:sz="8" w:space="0" w:color="auto"/>
              <w:bottom w:val="single" w:sz="8" w:space="0" w:color="auto"/>
              <w:right w:val="single" w:sz="8" w:space="0" w:color="auto"/>
            </w:tcBorders>
            <w:shd w:val="clear" w:color="auto" w:fill="auto"/>
            <w:noWrap/>
            <w:vAlign w:val="bottom"/>
          </w:tcPr>
          <w:p w:rsidR="005A3D15" w:rsidRPr="0013311A" w:rsidRDefault="005A3D15" w:rsidP="00700224">
            <w:pPr>
              <w:spacing w:before="60" w:after="60"/>
              <w:jc w:val="right"/>
              <w:rPr>
                <w:rFonts w:ascii="Arial" w:hAnsi="Arial" w:cs="Arial"/>
                <w:sz w:val="16"/>
                <w:szCs w:val="16"/>
                <w:lang w:eastAsia="en-NZ"/>
              </w:rPr>
            </w:pPr>
            <w:r w:rsidRPr="0013311A">
              <w:rPr>
                <w:rFonts w:ascii="Arial" w:hAnsi="Arial" w:cs="Arial"/>
                <w:sz w:val="16"/>
                <w:szCs w:val="16"/>
              </w:rPr>
              <w:t>0.5%</w:t>
            </w:r>
          </w:p>
        </w:tc>
      </w:tr>
      <w:tr w:rsidR="005A3D15" w:rsidRPr="00D01DD3" w:rsidTr="00EE0B09">
        <w:trPr>
          <w:trHeight w:val="163"/>
        </w:trPr>
        <w:tc>
          <w:tcPr>
            <w:tcW w:w="1527" w:type="dxa"/>
            <w:tcBorders>
              <w:top w:val="nil"/>
              <w:left w:val="single" w:sz="8" w:space="0" w:color="auto"/>
              <w:bottom w:val="single" w:sz="8" w:space="0" w:color="auto"/>
              <w:right w:val="single" w:sz="8" w:space="0" w:color="auto"/>
            </w:tcBorders>
            <w:shd w:val="clear" w:color="auto" w:fill="auto"/>
            <w:hideMark/>
          </w:tcPr>
          <w:p w:rsidR="005A3D15" w:rsidRPr="0013311A" w:rsidRDefault="005A3D15" w:rsidP="00700224">
            <w:pPr>
              <w:spacing w:before="60" w:after="60"/>
              <w:jc w:val="left"/>
              <w:rPr>
                <w:rFonts w:ascii="Arial" w:hAnsi="Arial" w:cs="Arial"/>
                <w:sz w:val="16"/>
                <w:szCs w:val="16"/>
                <w:lang w:eastAsia="en-NZ"/>
              </w:rPr>
            </w:pPr>
            <w:r w:rsidRPr="0013311A">
              <w:rPr>
                <w:rFonts w:ascii="Arial" w:hAnsi="Arial" w:cs="Arial"/>
                <w:sz w:val="16"/>
                <w:szCs w:val="16"/>
                <w:lang w:eastAsia="en-NZ"/>
              </w:rPr>
              <w:t>Light fuel oil</w:t>
            </w:r>
          </w:p>
        </w:tc>
        <w:tc>
          <w:tcPr>
            <w:tcW w:w="1276" w:type="dxa"/>
            <w:tcBorders>
              <w:top w:val="nil"/>
              <w:left w:val="nil"/>
              <w:bottom w:val="single" w:sz="8" w:space="0" w:color="auto"/>
              <w:right w:val="single" w:sz="8" w:space="0" w:color="auto"/>
            </w:tcBorders>
            <w:shd w:val="clear" w:color="auto" w:fill="auto"/>
            <w:hideMark/>
          </w:tcPr>
          <w:p w:rsidR="005A3D15" w:rsidRPr="0013311A" w:rsidRDefault="005A3D15" w:rsidP="0032465A">
            <w:pPr>
              <w:spacing w:before="60" w:after="60"/>
              <w:jc w:val="left"/>
              <w:rPr>
                <w:rFonts w:ascii="Arial" w:hAnsi="Arial" w:cs="Arial"/>
                <w:sz w:val="16"/>
                <w:szCs w:val="16"/>
                <w:lang w:eastAsia="en-NZ"/>
              </w:rPr>
            </w:pPr>
            <w:r w:rsidRPr="0013311A">
              <w:rPr>
                <w:rFonts w:ascii="Arial" w:hAnsi="Arial" w:cs="Arial"/>
                <w:sz w:val="16"/>
                <w:szCs w:val="16"/>
                <w:lang w:eastAsia="en-NZ"/>
              </w:rPr>
              <w:t>Commercial</w:t>
            </w:r>
          </w:p>
        </w:tc>
        <w:tc>
          <w:tcPr>
            <w:tcW w:w="567" w:type="dxa"/>
            <w:tcBorders>
              <w:top w:val="nil"/>
              <w:left w:val="nil"/>
              <w:bottom w:val="single" w:sz="8" w:space="0" w:color="auto"/>
              <w:right w:val="single" w:sz="8" w:space="0" w:color="auto"/>
            </w:tcBorders>
            <w:shd w:val="clear" w:color="auto" w:fill="auto"/>
            <w:hideMark/>
          </w:tcPr>
          <w:p w:rsidR="005A3D15" w:rsidRPr="0013311A" w:rsidRDefault="005A3D15" w:rsidP="0032465A">
            <w:pPr>
              <w:spacing w:before="60" w:after="60"/>
              <w:jc w:val="left"/>
              <w:rPr>
                <w:rFonts w:ascii="Arial" w:hAnsi="Arial" w:cs="Arial"/>
                <w:sz w:val="16"/>
                <w:szCs w:val="16"/>
                <w:lang w:eastAsia="en-NZ"/>
              </w:rPr>
            </w:pPr>
            <w:r w:rsidRPr="0013311A">
              <w:rPr>
                <w:rFonts w:ascii="Arial" w:hAnsi="Arial" w:cs="Arial"/>
                <w:sz w:val="16"/>
                <w:szCs w:val="16"/>
                <w:lang w:eastAsia="en-NZ"/>
              </w:rPr>
              <w:t>Litre</w:t>
            </w:r>
          </w:p>
        </w:tc>
        <w:tc>
          <w:tcPr>
            <w:tcW w:w="992" w:type="dxa"/>
            <w:tcBorders>
              <w:top w:val="nil"/>
              <w:left w:val="nil"/>
              <w:bottom w:val="single" w:sz="8" w:space="0" w:color="auto"/>
              <w:right w:val="nil"/>
            </w:tcBorders>
            <w:shd w:val="clear" w:color="auto" w:fill="auto"/>
            <w:noWrap/>
            <w:vAlign w:val="bottom"/>
          </w:tcPr>
          <w:p w:rsidR="005A3D15" w:rsidRPr="0013311A" w:rsidRDefault="005A3D15" w:rsidP="00700224">
            <w:pPr>
              <w:spacing w:before="60" w:after="60"/>
              <w:jc w:val="right"/>
              <w:rPr>
                <w:rFonts w:ascii="Arial" w:hAnsi="Arial" w:cs="Arial"/>
                <w:sz w:val="16"/>
                <w:szCs w:val="16"/>
                <w:lang w:eastAsia="en-NZ"/>
              </w:rPr>
            </w:pPr>
            <w:r w:rsidRPr="0013311A">
              <w:rPr>
                <w:rFonts w:ascii="Arial" w:hAnsi="Arial" w:cs="Arial"/>
                <w:sz w:val="16"/>
                <w:szCs w:val="16"/>
              </w:rPr>
              <w:t>2.96</w:t>
            </w:r>
          </w:p>
        </w:tc>
        <w:tc>
          <w:tcPr>
            <w:tcW w:w="1028" w:type="dxa"/>
            <w:tcBorders>
              <w:top w:val="nil"/>
              <w:left w:val="single" w:sz="8" w:space="0" w:color="auto"/>
              <w:bottom w:val="single" w:sz="8" w:space="0" w:color="auto"/>
              <w:right w:val="nil"/>
            </w:tcBorders>
            <w:shd w:val="clear" w:color="auto" w:fill="auto"/>
            <w:noWrap/>
            <w:vAlign w:val="bottom"/>
          </w:tcPr>
          <w:p w:rsidR="005A3D15" w:rsidRPr="0013311A" w:rsidRDefault="005A3D15" w:rsidP="00700224">
            <w:pPr>
              <w:spacing w:before="60" w:after="60"/>
              <w:jc w:val="right"/>
              <w:rPr>
                <w:rFonts w:ascii="Arial" w:hAnsi="Arial" w:cs="Arial"/>
                <w:sz w:val="16"/>
                <w:szCs w:val="16"/>
                <w:lang w:eastAsia="en-NZ"/>
              </w:rPr>
            </w:pPr>
            <w:r w:rsidRPr="0013311A">
              <w:rPr>
                <w:rFonts w:ascii="Arial" w:hAnsi="Arial" w:cs="Arial"/>
                <w:sz w:val="16"/>
                <w:szCs w:val="16"/>
              </w:rPr>
              <w:t>2.95</w:t>
            </w:r>
          </w:p>
        </w:tc>
        <w:tc>
          <w:tcPr>
            <w:tcW w:w="983" w:type="dxa"/>
            <w:tcBorders>
              <w:top w:val="nil"/>
              <w:left w:val="single" w:sz="8" w:space="0" w:color="auto"/>
              <w:bottom w:val="single" w:sz="8" w:space="0" w:color="auto"/>
              <w:right w:val="single" w:sz="8" w:space="0" w:color="auto"/>
            </w:tcBorders>
            <w:shd w:val="clear" w:color="auto" w:fill="auto"/>
            <w:noWrap/>
            <w:vAlign w:val="bottom"/>
          </w:tcPr>
          <w:p w:rsidR="005A3D15" w:rsidRPr="0013311A" w:rsidRDefault="005A3D15" w:rsidP="00700224">
            <w:pPr>
              <w:spacing w:before="60" w:after="60"/>
              <w:jc w:val="right"/>
              <w:rPr>
                <w:rFonts w:ascii="Arial" w:hAnsi="Arial" w:cs="Arial"/>
                <w:sz w:val="16"/>
                <w:szCs w:val="16"/>
                <w:lang w:eastAsia="en-NZ"/>
              </w:rPr>
            </w:pPr>
            <w:r w:rsidRPr="0013311A">
              <w:rPr>
                <w:rFonts w:ascii="Arial" w:hAnsi="Arial" w:cs="Arial"/>
                <w:sz w:val="16"/>
                <w:szCs w:val="16"/>
              </w:rPr>
              <w:t>0.00960</w:t>
            </w:r>
          </w:p>
        </w:tc>
        <w:tc>
          <w:tcPr>
            <w:tcW w:w="1107" w:type="dxa"/>
            <w:tcBorders>
              <w:top w:val="nil"/>
              <w:left w:val="nil"/>
              <w:bottom w:val="single" w:sz="8" w:space="0" w:color="auto"/>
              <w:right w:val="nil"/>
            </w:tcBorders>
            <w:shd w:val="clear" w:color="auto" w:fill="auto"/>
            <w:noWrap/>
            <w:vAlign w:val="bottom"/>
          </w:tcPr>
          <w:p w:rsidR="005A3D15" w:rsidRPr="0013311A" w:rsidRDefault="005A3D15" w:rsidP="00700224">
            <w:pPr>
              <w:spacing w:before="60" w:after="60"/>
              <w:jc w:val="right"/>
              <w:rPr>
                <w:rFonts w:ascii="Arial" w:hAnsi="Arial" w:cs="Arial"/>
                <w:sz w:val="16"/>
                <w:szCs w:val="16"/>
                <w:lang w:eastAsia="en-NZ"/>
              </w:rPr>
            </w:pPr>
            <w:r w:rsidRPr="0013311A">
              <w:rPr>
                <w:rFonts w:ascii="Arial" w:hAnsi="Arial" w:cs="Arial"/>
                <w:sz w:val="16"/>
                <w:szCs w:val="16"/>
              </w:rPr>
              <w:t>0.00687</w:t>
            </w:r>
          </w:p>
        </w:tc>
        <w:tc>
          <w:tcPr>
            <w:tcW w:w="993" w:type="dxa"/>
            <w:tcBorders>
              <w:top w:val="nil"/>
              <w:left w:val="single" w:sz="8" w:space="0" w:color="auto"/>
              <w:bottom w:val="single" w:sz="8" w:space="0" w:color="auto"/>
              <w:right w:val="single" w:sz="8" w:space="0" w:color="auto"/>
            </w:tcBorders>
            <w:shd w:val="clear" w:color="auto" w:fill="auto"/>
            <w:noWrap/>
            <w:vAlign w:val="bottom"/>
          </w:tcPr>
          <w:p w:rsidR="005A3D15" w:rsidRPr="0013311A" w:rsidRDefault="005A3D15" w:rsidP="00700224">
            <w:pPr>
              <w:spacing w:before="60" w:after="60"/>
              <w:jc w:val="right"/>
              <w:rPr>
                <w:rFonts w:ascii="Arial" w:hAnsi="Arial" w:cs="Arial"/>
                <w:sz w:val="16"/>
                <w:szCs w:val="16"/>
                <w:lang w:eastAsia="en-NZ"/>
              </w:rPr>
            </w:pPr>
            <w:r w:rsidRPr="0013311A">
              <w:rPr>
                <w:rFonts w:ascii="Arial" w:hAnsi="Arial" w:cs="Arial"/>
                <w:sz w:val="16"/>
                <w:szCs w:val="16"/>
              </w:rPr>
              <w:t>0.5%</w:t>
            </w:r>
          </w:p>
        </w:tc>
      </w:tr>
      <w:tr w:rsidR="005A3D15" w:rsidRPr="00D01DD3" w:rsidTr="00EE0B09">
        <w:trPr>
          <w:trHeight w:val="163"/>
        </w:trPr>
        <w:tc>
          <w:tcPr>
            <w:tcW w:w="7480" w:type="dxa"/>
            <w:gridSpan w:val="7"/>
            <w:tcBorders>
              <w:top w:val="single" w:sz="8" w:space="0" w:color="auto"/>
              <w:left w:val="single" w:sz="8" w:space="0" w:color="auto"/>
              <w:bottom w:val="single" w:sz="8" w:space="0" w:color="auto"/>
              <w:right w:val="single" w:sz="8" w:space="0" w:color="000000"/>
            </w:tcBorders>
            <w:shd w:val="clear" w:color="auto" w:fill="595959" w:themeFill="text1" w:themeFillTint="A6"/>
          </w:tcPr>
          <w:p w:rsidR="005A3D15" w:rsidRPr="0013311A" w:rsidRDefault="005A3D15" w:rsidP="0032465A">
            <w:pPr>
              <w:jc w:val="left"/>
              <w:rPr>
                <w:rFonts w:ascii="Arial" w:hAnsi="Arial" w:cs="Arial"/>
                <w:sz w:val="16"/>
                <w:szCs w:val="16"/>
                <w:lang w:eastAsia="en-NZ"/>
              </w:rPr>
            </w:pPr>
          </w:p>
        </w:tc>
        <w:tc>
          <w:tcPr>
            <w:tcW w:w="993" w:type="dxa"/>
            <w:tcBorders>
              <w:top w:val="nil"/>
              <w:left w:val="nil"/>
              <w:bottom w:val="single" w:sz="8" w:space="0" w:color="auto"/>
              <w:right w:val="single" w:sz="8" w:space="0" w:color="auto"/>
            </w:tcBorders>
            <w:shd w:val="clear" w:color="auto" w:fill="595959" w:themeFill="text1" w:themeFillTint="A6"/>
            <w:noWrap/>
          </w:tcPr>
          <w:p w:rsidR="005A3D15" w:rsidRPr="0013311A" w:rsidRDefault="005A3D15" w:rsidP="0085277B">
            <w:pPr>
              <w:jc w:val="left"/>
              <w:rPr>
                <w:rFonts w:ascii="Arial" w:hAnsi="Arial" w:cs="Arial"/>
                <w:sz w:val="16"/>
                <w:szCs w:val="16"/>
                <w:lang w:eastAsia="en-NZ"/>
              </w:rPr>
            </w:pPr>
          </w:p>
        </w:tc>
      </w:tr>
      <w:tr w:rsidR="001A6859" w:rsidRPr="00D01DD3" w:rsidTr="00EE0B09">
        <w:trPr>
          <w:trHeight w:val="163"/>
        </w:trPr>
        <w:tc>
          <w:tcPr>
            <w:tcW w:w="152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A6859" w:rsidRPr="0013311A" w:rsidRDefault="001A6859" w:rsidP="00700224">
            <w:pPr>
              <w:spacing w:before="60" w:after="60"/>
              <w:jc w:val="left"/>
              <w:rPr>
                <w:rFonts w:ascii="Arial" w:hAnsi="Arial" w:cs="Arial"/>
                <w:sz w:val="16"/>
                <w:szCs w:val="16"/>
                <w:lang w:eastAsia="en-NZ"/>
              </w:rPr>
            </w:pPr>
            <w:r w:rsidRPr="0013311A">
              <w:rPr>
                <w:rFonts w:ascii="Arial" w:hAnsi="Arial" w:cs="Arial"/>
                <w:sz w:val="16"/>
                <w:szCs w:val="16"/>
                <w:lang w:eastAsia="en-NZ"/>
              </w:rPr>
              <w:t>Distributed natural gas</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A6859" w:rsidRPr="0013311A" w:rsidRDefault="001A6859" w:rsidP="0032465A">
            <w:pPr>
              <w:spacing w:before="60" w:after="60"/>
              <w:jc w:val="left"/>
              <w:rPr>
                <w:rFonts w:ascii="Arial" w:hAnsi="Arial" w:cs="Arial"/>
                <w:sz w:val="16"/>
                <w:szCs w:val="16"/>
                <w:lang w:eastAsia="en-NZ"/>
              </w:rPr>
            </w:pPr>
            <w:r w:rsidRPr="0013311A">
              <w:rPr>
                <w:rFonts w:ascii="Arial" w:hAnsi="Arial" w:cs="Arial"/>
                <w:sz w:val="16"/>
                <w:szCs w:val="16"/>
                <w:lang w:eastAsia="en-NZ"/>
              </w:rPr>
              <w:t>Industry</w:t>
            </w:r>
          </w:p>
        </w:tc>
        <w:tc>
          <w:tcPr>
            <w:tcW w:w="567" w:type="dxa"/>
            <w:tcBorders>
              <w:top w:val="nil"/>
              <w:left w:val="nil"/>
              <w:bottom w:val="single" w:sz="8" w:space="0" w:color="auto"/>
              <w:right w:val="single" w:sz="8" w:space="0" w:color="auto"/>
            </w:tcBorders>
            <w:shd w:val="clear" w:color="auto" w:fill="auto"/>
            <w:hideMark/>
          </w:tcPr>
          <w:p w:rsidR="001A6859" w:rsidRPr="0013311A" w:rsidRDefault="001A6859" w:rsidP="0032465A">
            <w:pPr>
              <w:spacing w:before="60" w:after="60"/>
              <w:jc w:val="left"/>
              <w:rPr>
                <w:rFonts w:ascii="Arial" w:hAnsi="Arial" w:cs="Arial"/>
                <w:sz w:val="16"/>
                <w:szCs w:val="16"/>
                <w:lang w:eastAsia="en-NZ"/>
              </w:rPr>
            </w:pPr>
            <w:r w:rsidRPr="0013311A">
              <w:rPr>
                <w:rFonts w:ascii="Arial" w:hAnsi="Arial" w:cs="Arial"/>
                <w:sz w:val="16"/>
                <w:szCs w:val="16"/>
                <w:lang w:eastAsia="en-NZ"/>
              </w:rPr>
              <w:t>KWh</w:t>
            </w:r>
          </w:p>
        </w:tc>
        <w:tc>
          <w:tcPr>
            <w:tcW w:w="992" w:type="dxa"/>
            <w:tcBorders>
              <w:top w:val="single" w:sz="8" w:space="0" w:color="auto"/>
              <w:left w:val="nil"/>
              <w:bottom w:val="single" w:sz="8" w:space="0" w:color="auto"/>
              <w:right w:val="nil"/>
            </w:tcBorders>
            <w:shd w:val="clear" w:color="auto" w:fill="auto"/>
            <w:noWrap/>
            <w:vAlign w:val="bottom"/>
          </w:tcPr>
          <w:p w:rsidR="001A6859" w:rsidRPr="0013311A" w:rsidRDefault="001A6859" w:rsidP="00700224">
            <w:pPr>
              <w:spacing w:before="60" w:after="60"/>
              <w:jc w:val="right"/>
              <w:rPr>
                <w:rFonts w:ascii="Arial" w:hAnsi="Arial" w:cs="Arial"/>
                <w:sz w:val="16"/>
                <w:szCs w:val="16"/>
                <w:lang w:eastAsia="en-NZ"/>
              </w:rPr>
            </w:pPr>
            <w:r w:rsidRPr="0013311A">
              <w:rPr>
                <w:rFonts w:ascii="Arial" w:hAnsi="Arial" w:cs="Arial"/>
                <w:sz w:val="16"/>
                <w:szCs w:val="16"/>
              </w:rPr>
              <w:t>0.194</w:t>
            </w:r>
          </w:p>
        </w:tc>
        <w:tc>
          <w:tcPr>
            <w:tcW w:w="1028" w:type="dxa"/>
            <w:tcBorders>
              <w:top w:val="single" w:sz="8" w:space="0" w:color="auto"/>
              <w:left w:val="single" w:sz="8" w:space="0" w:color="auto"/>
              <w:bottom w:val="single" w:sz="8" w:space="0" w:color="auto"/>
              <w:right w:val="nil"/>
            </w:tcBorders>
            <w:shd w:val="clear" w:color="auto" w:fill="auto"/>
            <w:noWrap/>
            <w:vAlign w:val="bottom"/>
          </w:tcPr>
          <w:p w:rsidR="001A6859" w:rsidRPr="0013311A" w:rsidRDefault="001A6859" w:rsidP="00700224">
            <w:pPr>
              <w:spacing w:before="60" w:after="60"/>
              <w:jc w:val="right"/>
              <w:rPr>
                <w:rFonts w:ascii="Arial" w:hAnsi="Arial" w:cs="Arial"/>
                <w:sz w:val="16"/>
                <w:szCs w:val="16"/>
                <w:lang w:eastAsia="en-NZ"/>
              </w:rPr>
            </w:pPr>
            <w:r w:rsidRPr="0013311A">
              <w:rPr>
                <w:rFonts w:ascii="Arial" w:hAnsi="Arial" w:cs="Arial"/>
                <w:sz w:val="16"/>
                <w:szCs w:val="16"/>
              </w:rPr>
              <w:t>0.194</w:t>
            </w:r>
          </w:p>
        </w:tc>
        <w:tc>
          <w:tcPr>
            <w:tcW w:w="983" w:type="dxa"/>
            <w:tcBorders>
              <w:top w:val="single" w:sz="8" w:space="0" w:color="auto"/>
              <w:left w:val="single" w:sz="8" w:space="0" w:color="auto"/>
              <w:bottom w:val="single" w:sz="8" w:space="0" w:color="auto"/>
              <w:right w:val="single" w:sz="8" w:space="0" w:color="auto"/>
            </w:tcBorders>
            <w:shd w:val="clear" w:color="auto" w:fill="auto"/>
            <w:noWrap/>
            <w:vAlign w:val="bottom"/>
          </w:tcPr>
          <w:p w:rsidR="001A6859" w:rsidRPr="0013311A" w:rsidRDefault="001A6859" w:rsidP="00700224">
            <w:pPr>
              <w:spacing w:before="60" w:after="60"/>
              <w:jc w:val="right"/>
              <w:rPr>
                <w:rFonts w:ascii="Arial" w:hAnsi="Arial" w:cs="Arial"/>
                <w:sz w:val="16"/>
                <w:szCs w:val="16"/>
                <w:lang w:eastAsia="en-NZ"/>
              </w:rPr>
            </w:pPr>
            <w:r w:rsidRPr="0013311A">
              <w:rPr>
                <w:rFonts w:ascii="Arial" w:hAnsi="Arial" w:cs="Arial"/>
                <w:sz w:val="16"/>
                <w:szCs w:val="16"/>
              </w:rPr>
              <w:t>0.0000810</w:t>
            </w:r>
          </w:p>
        </w:tc>
        <w:tc>
          <w:tcPr>
            <w:tcW w:w="1107" w:type="dxa"/>
            <w:tcBorders>
              <w:top w:val="single" w:sz="8" w:space="0" w:color="auto"/>
              <w:left w:val="nil"/>
              <w:bottom w:val="single" w:sz="8" w:space="0" w:color="auto"/>
              <w:right w:val="nil"/>
            </w:tcBorders>
            <w:shd w:val="clear" w:color="auto" w:fill="auto"/>
            <w:noWrap/>
            <w:vAlign w:val="bottom"/>
          </w:tcPr>
          <w:p w:rsidR="001A6859" w:rsidRPr="0013311A" w:rsidRDefault="001A6859" w:rsidP="00700224">
            <w:pPr>
              <w:spacing w:before="60" w:after="60"/>
              <w:jc w:val="right"/>
              <w:rPr>
                <w:rFonts w:ascii="Arial" w:hAnsi="Arial" w:cs="Arial"/>
                <w:sz w:val="16"/>
                <w:szCs w:val="16"/>
                <w:lang w:eastAsia="en-NZ"/>
              </w:rPr>
            </w:pPr>
            <w:r w:rsidRPr="0013311A">
              <w:rPr>
                <w:rFonts w:ascii="Arial" w:hAnsi="Arial" w:cs="Arial"/>
                <w:sz w:val="16"/>
                <w:szCs w:val="16"/>
              </w:rPr>
              <w:t>0.0000966</w:t>
            </w:r>
          </w:p>
        </w:tc>
        <w:tc>
          <w:tcPr>
            <w:tcW w:w="993" w:type="dxa"/>
            <w:tcBorders>
              <w:top w:val="nil"/>
              <w:left w:val="single" w:sz="8" w:space="0" w:color="auto"/>
              <w:bottom w:val="single" w:sz="8" w:space="0" w:color="auto"/>
              <w:right w:val="single" w:sz="8" w:space="0" w:color="auto"/>
            </w:tcBorders>
            <w:shd w:val="clear" w:color="auto" w:fill="auto"/>
            <w:noWrap/>
            <w:vAlign w:val="bottom"/>
          </w:tcPr>
          <w:p w:rsidR="001A6859" w:rsidRPr="0013311A" w:rsidRDefault="001A6859" w:rsidP="00700224">
            <w:pPr>
              <w:spacing w:before="60" w:after="60"/>
              <w:jc w:val="right"/>
              <w:rPr>
                <w:rFonts w:ascii="Arial" w:hAnsi="Arial" w:cs="Arial"/>
                <w:sz w:val="16"/>
                <w:szCs w:val="16"/>
                <w:lang w:eastAsia="en-NZ"/>
              </w:rPr>
            </w:pPr>
            <w:r w:rsidRPr="0013311A">
              <w:rPr>
                <w:rFonts w:ascii="Arial" w:hAnsi="Arial" w:cs="Arial"/>
                <w:sz w:val="16"/>
                <w:szCs w:val="16"/>
              </w:rPr>
              <w:t>2.4%</w:t>
            </w:r>
          </w:p>
        </w:tc>
      </w:tr>
      <w:tr w:rsidR="001A6859" w:rsidRPr="00D01DD3" w:rsidTr="00EE0B09">
        <w:trPr>
          <w:trHeight w:val="163"/>
        </w:trPr>
        <w:tc>
          <w:tcPr>
            <w:tcW w:w="1527" w:type="dxa"/>
            <w:vMerge/>
            <w:tcBorders>
              <w:top w:val="single" w:sz="8" w:space="0" w:color="auto"/>
              <w:left w:val="single" w:sz="8" w:space="0" w:color="auto"/>
              <w:bottom w:val="single" w:sz="8" w:space="0" w:color="000000"/>
              <w:right w:val="single" w:sz="8" w:space="0" w:color="auto"/>
            </w:tcBorders>
            <w:vAlign w:val="center"/>
            <w:hideMark/>
          </w:tcPr>
          <w:p w:rsidR="001A6859" w:rsidRPr="00EE0B09" w:rsidRDefault="001A6859" w:rsidP="00700224">
            <w:pPr>
              <w:spacing w:before="60" w:after="60"/>
              <w:jc w:val="left"/>
              <w:rPr>
                <w:rFonts w:ascii="Arial" w:hAnsi="Arial" w:cs="Arial"/>
                <w:sz w:val="18"/>
                <w:szCs w:val="18"/>
                <w:lang w:eastAsia="en-NZ"/>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1A6859" w:rsidRPr="00EE0B09" w:rsidRDefault="001A6859" w:rsidP="0032465A">
            <w:pPr>
              <w:spacing w:before="60" w:after="60"/>
              <w:jc w:val="left"/>
              <w:rPr>
                <w:rFonts w:ascii="Arial" w:hAnsi="Arial" w:cs="Arial"/>
                <w:sz w:val="18"/>
                <w:szCs w:val="18"/>
                <w:lang w:eastAsia="en-NZ"/>
              </w:rPr>
            </w:pPr>
          </w:p>
        </w:tc>
        <w:tc>
          <w:tcPr>
            <w:tcW w:w="567" w:type="dxa"/>
            <w:tcBorders>
              <w:top w:val="nil"/>
              <w:left w:val="nil"/>
              <w:bottom w:val="single" w:sz="8" w:space="0" w:color="auto"/>
              <w:right w:val="single" w:sz="8" w:space="0" w:color="auto"/>
            </w:tcBorders>
            <w:shd w:val="clear" w:color="auto" w:fill="auto"/>
            <w:hideMark/>
          </w:tcPr>
          <w:p w:rsidR="001A6859" w:rsidRPr="00EE0B09" w:rsidRDefault="001A6859" w:rsidP="0032465A">
            <w:pPr>
              <w:spacing w:before="60" w:after="60"/>
              <w:jc w:val="left"/>
              <w:rPr>
                <w:rFonts w:ascii="Arial" w:hAnsi="Arial" w:cs="Arial"/>
                <w:sz w:val="18"/>
                <w:szCs w:val="18"/>
                <w:lang w:eastAsia="en-NZ"/>
              </w:rPr>
            </w:pPr>
            <w:r w:rsidRPr="00EE0B09">
              <w:rPr>
                <w:rFonts w:ascii="Arial" w:hAnsi="Arial" w:cs="Arial"/>
                <w:sz w:val="18"/>
                <w:szCs w:val="18"/>
                <w:lang w:eastAsia="en-NZ"/>
              </w:rPr>
              <w:t>GJ</w:t>
            </w:r>
          </w:p>
        </w:tc>
        <w:tc>
          <w:tcPr>
            <w:tcW w:w="992" w:type="dxa"/>
            <w:tcBorders>
              <w:top w:val="nil"/>
              <w:left w:val="nil"/>
              <w:bottom w:val="single" w:sz="8" w:space="0" w:color="auto"/>
              <w:right w:val="nil"/>
            </w:tcBorders>
            <w:shd w:val="clear" w:color="auto" w:fill="auto"/>
            <w:noWrap/>
            <w:vAlign w:val="bottom"/>
          </w:tcPr>
          <w:p w:rsidR="001A6859" w:rsidRPr="00EE0B09" w:rsidRDefault="001A6859" w:rsidP="00700224">
            <w:pPr>
              <w:spacing w:before="60" w:after="60"/>
              <w:jc w:val="right"/>
              <w:rPr>
                <w:rFonts w:ascii="Arial" w:hAnsi="Arial" w:cs="Arial"/>
                <w:sz w:val="18"/>
                <w:szCs w:val="18"/>
                <w:lang w:eastAsia="en-NZ"/>
              </w:rPr>
            </w:pPr>
            <w:r w:rsidRPr="00EE0B09">
              <w:rPr>
                <w:rFonts w:ascii="Arial" w:hAnsi="Arial" w:cs="Arial"/>
                <w:sz w:val="18"/>
                <w:szCs w:val="18"/>
              </w:rPr>
              <w:t>53.86</w:t>
            </w:r>
          </w:p>
        </w:tc>
        <w:tc>
          <w:tcPr>
            <w:tcW w:w="1028" w:type="dxa"/>
            <w:tcBorders>
              <w:top w:val="nil"/>
              <w:left w:val="single" w:sz="8" w:space="0" w:color="auto"/>
              <w:bottom w:val="single" w:sz="8" w:space="0" w:color="auto"/>
              <w:right w:val="nil"/>
            </w:tcBorders>
            <w:shd w:val="clear" w:color="auto" w:fill="auto"/>
            <w:noWrap/>
            <w:vAlign w:val="bottom"/>
          </w:tcPr>
          <w:p w:rsidR="001A6859" w:rsidRPr="00EE0B09" w:rsidRDefault="001A6859" w:rsidP="00700224">
            <w:pPr>
              <w:spacing w:before="60" w:after="60"/>
              <w:jc w:val="right"/>
              <w:rPr>
                <w:rFonts w:ascii="Arial" w:hAnsi="Arial" w:cs="Arial"/>
                <w:sz w:val="18"/>
                <w:szCs w:val="18"/>
                <w:lang w:eastAsia="en-NZ"/>
              </w:rPr>
            </w:pPr>
            <w:r w:rsidRPr="00EE0B09">
              <w:rPr>
                <w:rFonts w:ascii="Arial" w:hAnsi="Arial" w:cs="Arial"/>
                <w:sz w:val="18"/>
                <w:szCs w:val="18"/>
              </w:rPr>
              <w:t>53.81</w:t>
            </w:r>
          </w:p>
        </w:tc>
        <w:tc>
          <w:tcPr>
            <w:tcW w:w="983" w:type="dxa"/>
            <w:tcBorders>
              <w:top w:val="nil"/>
              <w:left w:val="single" w:sz="8" w:space="0" w:color="auto"/>
              <w:bottom w:val="single" w:sz="8" w:space="0" w:color="auto"/>
              <w:right w:val="single" w:sz="8" w:space="0" w:color="auto"/>
            </w:tcBorders>
            <w:shd w:val="clear" w:color="auto" w:fill="auto"/>
            <w:noWrap/>
            <w:vAlign w:val="bottom"/>
          </w:tcPr>
          <w:p w:rsidR="001A6859" w:rsidRPr="00EE0B09" w:rsidRDefault="001A6859" w:rsidP="00700224">
            <w:pPr>
              <w:spacing w:before="60" w:after="60"/>
              <w:jc w:val="right"/>
              <w:rPr>
                <w:rFonts w:ascii="Arial" w:hAnsi="Arial" w:cs="Arial"/>
                <w:sz w:val="18"/>
                <w:szCs w:val="18"/>
                <w:lang w:eastAsia="en-NZ"/>
              </w:rPr>
            </w:pPr>
            <w:r w:rsidRPr="00EE0B09">
              <w:rPr>
                <w:rFonts w:ascii="Arial" w:hAnsi="Arial" w:cs="Arial"/>
                <w:sz w:val="18"/>
                <w:szCs w:val="18"/>
              </w:rPr>
              <w:t>0.0225</w:t>
            </w:r>
          </w:p>
        </w:tc>
        <w:tc>
          <w:tcPr>
            <w:tcW w:w="1107" w:type="dxa"/>
            <w:tcBorders>
              <w:top w:val="nil"/>
              <w:left w:val="nil"/>
              <w:bottom w:val="single" w:sz="8" w:space="0" w:color="auto"/>
              <w:right w:val="nil"/>
            </w:tcBorders>
            <w:shd w:val="clear" w:color="auto" w:fill="auto"/>
            <w:noWrap/>
            <w:vAlign w:val="bottom"/>
          </w:tcPr>
          <w:p w:rsidR="001A6859" w:rsidRPr="00EE0B09" w:rsidRDefault="001A6859" w:rsidP="00700224">
            <w:pPr>
              <w:spacing w:before="60" w:after="60"/>
              <w:jc w:val="right"/>
              <w:rPr>
                <w:rFonts w:ascii="Arial" w:hAnsi="Arial" w:cs="Arial"/>
                <w:sz w:val="18"/>
                <w:szCs w:val="18"/>
                <w:lang w:eastAsia="en-NZ"/>
              </w:rPr>
            </w:pPr>
            <w:r w:rsidRPr="00EE0B09">
              <w:rPr>
                <w:rFonts w:ascii="Arial" w:hAnsi="Arial" w:cs="Arial"/>
                <w:sz w:val="18"/>
                <w:szCs w:val="18"/>
              </w:rPr>
              <w:t>0.0268</w:t>
            </w:r>
          </w:p>
        </w:tc>
        <w:tc>
          <w:tcPr>
            <w:tcW w:w="993" w:type="dxa"/>
            <w:tcBorders>
              <w:top w:val="nil"/>
              <w:left w:val="single" w:sz="8" w:space="0" w:color="auto"/>
              <w:bottom w:val="single" w:sz="8" w:space="0" w:color="auto"/>
              <w:right w:val="single" w:sz="8" w:space="0" w:color="auto"/>
            </w:tcBorders>
            <w:shd w:val="clear" w:color="auto" w:fill="auto"/>
            <w:noWrap/>
            <w:vAlign w:val="bottom"/>
          </w:tcPr>
          <w:p w:rsidR="001A6859" w:rsidRPr="00EE0B09" w:rsidRDefault="001A6859" w:rsidP="00700224">
            <w:pPr>
              <w:spacing w:before="60" w:after="60"/>
              <w:jc w:val="right"/>
              <w:rPr>
                <w:rFonts w:ascii="Arial" w:hAnsi="Arial" w:cs="Arial"/>
                <w:sz w:val="18"/>
                <w:szCs w:val="18"/>
                <w:lang w:eastAsia="en-NZ"/>
              </w:rPr>
            </w:pPr>
            <w:r w:rsidRPr="00EE0B09">
              <w:rPr>
                <w:rFonts w:ascii="Arial" w:hAnsi="Arial" w:cs="Arial"/>
                <w:sz w:val="18"/>
                <w:szCs w:val="18"/>
              </w:rPr>
              <w:t>2.4%</w:t>
            </w:r>
          </w:p>
        </w:tc>
      </w:tr>
      <w:tr w:rsidR="001A6859" w:rsidRPr="00D01DD3" w:rsidTr="00EE0B09">
        <w:trPr>
          <w:trHeight w:val="249"/>
        </w:trPr>
        <w:tc>
          <w:tcPr>
            <w:tcW w:w="1527" w:type="dxa"/>
            <w:tcBorders>
              <w:top w:val="nil"/>
              <w:left w:val="single" w:sz="8" w:space="0" w:color="auto"/>
              <w:bottom w:val="single" w:sz="8" w:space="0" w:color="auto"/>
              <w:right w:val="single" w:sz="8" w:space="0" w:color="auto"/>
            </w:tcBorders>
            <w:shd w:val="clear" w:color="auto" w:fill="auto"/>
            <w:hideMark/>
          </w:tcPr>
          <w:p w:rsidR="001A6859" w:rsidRPr="0013311A" w:rsidRDefault="001A6859" w:rsidP="00700224">
            <w:pPr>
              <w:spacing w:before="60" w:after="60"/>
              <w:ind w:right="459"/>
              <w:jc w:val="left"/>
              <w:rPr>
                <w:rFonts w:ascii="Arial" w:hAnsi="Arial" w:cs="Arial"/>
                <w:sz w:val="16"/>
                <w:szCs w:val="16"/>
                <w:lang w:eastAsia="en-NZ"/>
              </w:rPr>
            </w:pPr>
            <w:r w:rsidRPr="0013311A">
              <w:rPr>
                <w:rFonts w:ascii="Arial" w:hAnsi="Arial" w:cs="Arial"/>
                <w:sz w:val="16"/>
                <w:szCs w:val="16"/>
                <w:lang w:eastAsia="en-NZ"/>
              </w:rPr>
              <w:t>Coal – bituminous</w:t>
            </w:r>
          </w:p>
        </w:tc>
        <w:tc>
          <w:tcPr>
            <w:tcW w:w="1276" w:type="dxa"/>
            <w:tcBorders>
              <w:top w:val="nil"/>
              <w:left w:val="nil"/>
              <w:bottom w:val="single" w:sz="8" w:space="0" w:color="auto"/>
              <w:right w:val="single" w:sz="8" w:space="0" w:color="auto"/>
            </w:tcBorders>
            <w:shd w:val="clear" w:color="auto" w:fill="auto"/>
            <w:hideMark/>
          </w:tcPr>
          <w:p w:rsidR="001A6859" w:rsidRPr="0013311A" w:rsidRDefault="001A6859" w:rsidP="0032465A">
            <w:pPr>
              <w:spacing w:before="60" w:after="60"/>
              <w:jc w:val="left"/>
              <w:rPr>
                <w:rFonts w:ascii="Arial" w:hAnsi="Arial" w:cs="Arial"/>
                <w:sz w:val="16"/>
                <w:szCs w:val="16"/>
                <w:lang w:eastAsia="en-NZ"/>
              </w:rPr>
            </w:pPr>
            <w:r w:rsidRPr="0013311A">
              <w:rPr>
                <w:rFonts w:ascii="Arial" w:hAnsi="Arial" w:cs="Arial"/>
                <w:sz w:val="16"/>
                <w:szCs w:val="16"/>
                <w:lang w:eastAsia="en-NZ"/>
              </w:rPr>
              <w:t>Industry</w:t>
            </w:r>
          </w:p>
        </w:tc>
        <w:tc>
          <w:tcPr>
            <w:tcW w:w="567" w:type="dxa"/>
            <w:tcBorders>
              <w:top w:val="nil"/>
              <w:left w:val="nil"/>
              <w:bottom w:val="single" w:sz="8" w:space="0" w:color="auto"/>
              <w:right w:val="single" w:sz="8" w:space="0" w:color="auto"/>
            </w:tcBorders>
            <w:shd w:val="clear" w:color="auto" w:fill="auto"/>
            <w:hideMark/>
          </w:tcPr>
          <w:p w:rsidR="001A6859" w:rsidRPr="0013311A" w:rsidRDefault="001A6859" w:rsidP="0032465A">
            <w:pPr>
              <w:spacing w:before="60" w:after="60"/>
              <w:jc w:val="left"/>
              <w:rPr>
                <w:rFonts w:ascii="Arial" w:hAnsi="Arial" w:cs="Arial"/>
                <w:sz w:val="16"/>
                <w:szCs w:val="16"/>
                <w:lang w:eastAsia="en-NZ"/>
              </w:rPr>
            </w:pPr>
            <w:r w:rsidRPr="0013311A">
              <w:rPr>
                <w:rFonts w:ascii="Arial" w:hAnsi="Arial" w:cs="Arial"/>
                <w:sz w:val="16"/>
                <w:szCs w:val="16"/>
                <w:lang w:eastAsia="en-NZ"/>
              </w:rPr>
              <w:t>Kg</w:t>
            </w:r>
          </w:p>
        </w:tc>
        <w:tc>
          <w:tcPr>
            <w:tcW w:w="992" w:type="dxa"/>
            <w:tcBorders>
              <w:top w:val="nil"/>
              <w:left w:val="nil"/>
              <w:bottom w:val="single" w:sz="8" w:space="0" w:color="auto"/>
              <w:right w:val="nil"/>
            </w:tcBorders>
            <w:shd w:val="clear" w:color="auto" w:fill="auto"/>
            <w:noWrap/>
            <w:vAlign w:val="bottom"/>
          </w:tcPr>
          <w:p w:rsidR="001A6859" w:rsidRPr="0013311A" w:rsidRDefault="001A6859" w:rsidP="00700224">
            <w:pPr>
              <w:spacing w:before="60" w:after="60"/>
              <w:jc w:val="right"/>
              <w:rPr>
                <w:rFonts w:ascii="Arial" w:hAnsi="Arial" w:cs="Arial"/>
                <w:sz w:val="16"/>
                <w:szCs w:val="16"/>
                <w:lang w:eastAsia="en-NZ"/>
              </w:rPr>
            </w:pPr>
            <w:r w:rsidRPr="0013311A">
              <w:rPr>
                <w:rFonts w:ascii="Arial" w:hAnsi="Arial" w:cs="Arial"/>
                <w:sz w:val="16"/>
                <w:szCs w:val="16"/>
              </w:rPr>
              <w:t>2.68</w:t>
            </w:r>
          </w:p>
        </w:tc>
        <w:tc>
          <w:tcPr>
            <w:tcW w:w="1028" w:type="dxa"/>
            <w:tcBorders>
              <w:top w:val="nil"/>
              <w:left w:val="single" w:sz="8" w:space="0" w:color="auto"/>
              <w:bottom w:val="single" w:sz="8" w:space="0" w:color="auto"/>
              <w:right w:val="nil"/>
            </w:tcBorders>
            <w:shd w:val="clear" w:color="auto" w:fill="auto"/>
            <w:noWrap/>
            <w:vAlign w:val="bottom"/>
          </w:tcPr>
          <w:p w:rsidR="001A6859" w:rsidRPr="0013311A" w:rsidRDefault="001A6859" w:rsidP="00700224">
            <w:pPr>
              <w:spacing w:before="60" w:after="60"/>
              <w:jc w:val="right"/>
              <w:rPr>
                <w:rFonts w:ascii="Arial" w:hAnsi="Arial" w:cs="Arial"/>
                <w:sz w:val="16"/>
                <w:szCs w:val="16"/>
                <w:lang w:eastAsia="en-NZ"/>
              </w:rPr>
            </w:pPr>
            <w:r w:rsidRPr="0013311A">
              <w:rPr>
                <w:rFonts w:ascii="Arial" w:hAnsi="Arial" w:cs="Arial"/>
                <w:sz w:val="16"/>
                <w:szCs w:val="16"/>
              </w:rPr>
              <w:t>2.66</w:t>
            </w:r>
          </w:p>
        </w:tc>
        <w:tc>
          <w:tcPr>
            <w:tcW w:w="983" w:type="dxa"/>
            <w:tcBorders>
              <w:top w:val="nil"/>
              <w:left w:val="single" w:sz="8" w:space="0" w:color="auto"/>
              <w:bottom w:val="single" w:sz="8" w:space="0" w:color="auto"/>
              <w:right w:val="single" w:sz="8" w:space="0" w:color="auto"/>
            </w:tcBorders>
            <w:shd w:val="clear" w:color="auto" w:fill="auto"/>
            <w:noWrap/>
            <w:vAlign w:val="bottom"/>
          </w:tcPr>
          <w:p w:rsidR="001A6859" w:rsidRPr="0013311A" w:rsidRDefault="001A6859" w:rsidP="00700224">
            <w:pPr>
              <w:spacing w:before="60" w:after="60"/>
              <w:jc w:val="right"/>
              <w:rPr>
                <w:rFonts w:ascii="Arial" w:hAnsi="Arial" w:cs="Arial"/>
                <w:sz w:val="16"/>
                <w:szCs w:val="16"/>
                <w:lang w:eastAsia="en-NZ"/>
              </w:rPr>
            </w:pPr>
            <w:r w:rsidRPr="0013311A">
              <w:rPr>
                <w:rFonts w:ascii="Arial" w:hAnsi="Arial" w:cs="Arial"/>
                <w:sz w:val="16"/>
                <w:szCs w:val="16"/>
              </w:rPr>
              <w:t>0.00710</w:t>
            </w:r>
          </w:p>
        </w:tc>
        <w:tc>
          <w:tcPr>
            <w:tcW w:w="1107" w:type="dxa"/>
            <w:tcBorders>
              <w:top w:val="nil"/>
              <w:left w:val="nil"/>
              <w:bottom w:val="single" w:sz="8" w:space="0" w:color="auto"/>
              <w:right w:val="nil"/>
            </w:tcBorders>
            <w:shd w:val="clear" w:color="auto" w:fill="auto"/>
            <w:noWrap/>
            <w:vAlign w:val="bottom"/>
          </w:tcPr>
          <w:p w:rsidR="001A6859" w:rsidRPr="0013311A" w:rsidRDefault="001A6859" w:rsidP="00700224">
            <w:pPr>
              <w:spacing w:before="60" w:after="60"/>
              <w:jc w:val="right"/>
              <w:rPr>
                <w:rFonts w:ascii="Arial" w:hAnsi="Arial" w:cs="Arial"/>
                <w:sz w:val="16"/>
                <w:szCs w:val="16"/>
                <w:lang w:eastAsia="en-NZ"/>
              </w:rPr>
            </w:pPr>
            <w:r w:rsidRPr="0013311A">
              <w:rPr>
                <w:rFonts w:ascii="Arial" w:hAnsi="Arial" w:cs="Arial"/>
                <w:sz w:val="16"/>
                <w:szCs w:val="16"/>
              </w:rPr>
              <w:t>0.0127</w:t>
            </w:r>
          </w:p>
        </w:tc>
        <w:tc>
          <w:tcPr>
            <w:tcW w:w="993" w:type="dxa"/>
            <w:tcBorders>
              <w:top w:val="nil"/>
              <w:left w:val="single" w:sz="8" w:space="0" w:color="auto"/>
              <w:bottom w:val="single" w:sz="8" w:space="0" w:color="auto"/>
              <w:right w:val="single" w:sz="8" w:space="0" w:color="auto"/>
            </w:tcBorders>
            <w:shd w:val="clear" w:color="auto" w:fill="auto"/>
            <w:noWrap/>
            <w:vAlign w:val="bottom"/>
          </w:tcPr>
          <w:p w:rsidR="001A6859" w:rsidRPr="0013311A" w:rsidRDefault="001A6859" w:rsidP="00700224">
            <w:pPr>
              <w:spacing w:before="60" w:after="60"/>
              <w:jc w:val="right"/>
              <w:rPr>
                <w:rFonts w:ascii="Arial" w:hAnsi="Arial" w:cs="Arial"/>
                <w:sz w:val="16"/>
                <w:szCs w:val="16"/>
                <w:lang w:eastAsia="en-NZ"/>
              </w:rPr>
            </w:pPr>
            <w:r w:rsidRPr="0013311A">
              <w:rPr>
                <w:rFonts w:ascii="Arial" w:hAnsi="Arial" w:cs="Arial"/>
                <w:sz w:val="16"/>
                <w:szCs w:val="16"/>
              </w:rPr>
              <w:t>3.5%</w:t>
            </w:r>
          </w:p>
        </w:tc>
      </w:tr>
      <w:tr w:rsidR="001A6859" w:rsidRPr="00D01DD3" w:rsidTr="00EE0B09">
        <w:trPr>
          <w:trHeight w:val="249"/>
        </w:trPr>
        <w:tc>
          <w:tcPr>
            <w:tcW w:w="1527" w:type="dxa"/>
            <w:tcBorders>
              <w:top w:val="nil"/>
              <w:left w:val="single" w:sz="8" w:space="0" w:color="auto"/>
              <w:bottom w:val="single" w:sz="8" w:space="0" w:color="auto"/>
              <w:right w:val="single" w:sz="8" w:space="0" w:color="auto"/>
            </w:tcBorders>
            <w:shd w:val="clear" w:color="auto" w:fill="auto"/>
            <w:hideMark/>
          </w:tcPr>
          <w:p w:rsidR="001A6859" w:rsidRPr="0013311A" w:rsidRDefault="001A6859" w:rsidP="00700224">
            <w:pPr>
              <w:spacing w:before="60" w:after="60"/>
              <w:ind w:left="284" w:hanging="284"/>
              <w:jc w:val="left"/>
              <w:rPr>
                <w:rFonts w:ascii="Arial" w:hAnsi="Arial" w:cs="Arial"/>
                <w:sz w:val="16"/>
                <w:szCs w:val="16"/>
                <w:lang w:eastAsia="en-NZ"/>
              </w:rPr>
            </w:pPr>
            <w:r w:rsidRPr="0013311A">
              <w:rPr>
                <w:rFonts w:ascii="Arial" w:hAnsi="Arial" w:cs="Arial"/>
                <w:sz w:val="16"/>
                <w:szCs w:val="16"/>
                <w:lang w:eastAsia="en-NZ"/>
              </w:rPr>
              <w:t>Coal – sub-bituminous</w:t>
            </w:r>
          </w:p>
        </w:tc>
        <w:tc>
          <w:tcPr>
            <w:tcW w:w="1276" w:type="dxa"/>
            <w:tcBorders>
              <w:top w:val="nil"/>
              <w:left w:val="nil"/>
              <w:bottom w:val="single" w:sz="8" w:space="0" w:color="auto"/>
              <w:right w:val="single" w:sz="8" w:space="0" w:color="auto"/>
            </w:tcBorders>
            <w:shd w:val="clear" w:color="auto" w:fill="auto"/>
            <w:hideMark/>
          </w:tcPr>
          <w:p w:rsidR="001A6859" w:rsidRPr="0013311A" w:rsidRDefault="001A6859" w:rsidP="0032465A">
            <w:pPr>
              <w:spacing w:before="60" w:after="60"/>
              <w:ind w:left="284" w:hanging="284"/>
              <w:jc w:val="left"/>
              <w:rPr>
                <w:rFonts w:ascii="Arial" w:hAnsi="Arial" w:cs="Arial"/>
                <w:sz w:val="16"/>
                <w:szCs w:val="16"/>
                <w:lang w:eastAsia="en-NZ"/>
              </w:rPr>
            </w:pPr>
            <w:r w:rsidRPr="0013311A">
              <w:rPr>
                <w:rFonts w:ascii="Arial" w:hAnsi="Arial" w:cs="Arial"/>
                <w:sz w:val="16"/>
                <w:szCs w:val="16"/>
                <w:lang w:eastAsia="en-NZ"/>
              </w:rPr>
              <w:t>Industry</w:t>
            </w:r>
          </w:p>
        </w:tc>
        <w:tc>
          <w:tcPr>
            <w:tcW w:w="567" w:type="dxa"/>
            <w:tcBorders>
              <w:top w:val="nil"/>
              <w:left w:val="nil"/>
              <w:bottom w:val="single" w:sz="8" w:space="0" w:color="auto"/>
              <w:right w:val="single" w:sz="8" w:space="0" w:color="auto"/>
            </w:tcBorders>
            <w:shd w:val="clear" w:color="auto" w:fill="auto"/>
            <w:hideMark/>
          </w:tcPr>
          <w:p w:rsidR="001A6859" w:rsidRPr="0013311A" w:rsidRDefault="001A6859" w:rsidP="0032465A">
            <w:pPr>
              <w:spacing w:before="60" w:after="60"/>
              <w:ind w:left="284" w:hanging="284"/>
              <w:jc w:val="left"/>
              <w:rPr>
                <w:rFonts w:ascii="Arial" w:hAnsi="Arial" w:cs="Arial"/>
                <w:sz w:val="16"/>
                <w:szCs w:val="16"/>
                <w:lang w:eastAsia="en-NZ"/>
              </w:rPr>
            </w:pPr>
            <w:r w:rsidRPr="0013311A">
              <w:rPr>
                <w:rFonts w:ascii="Arial" w:hAnsi="Arial" w:cs="Arial"/>
                <w:sz w:val="16"/>
                <w:szCs w:val="16"/>
                <w:lang w:eastAsia="en-NZ"/>
              </w:rPr>
              <w:t>Kg</w:t>
            </w:r>
          </w:p>
        </w:tc>
        <w:tc>
          <w:tcPr>
            <w:tcW w:w="992" w:type="dxa"/>
            <w:tcBorders>
              <w:top w:val="nil"/>
              <w:left w:val="nil"/>
              <w:bottom w:val="single" w:sz="8" w:space="0" w:color="auto"/>
              <w:right w:val="nil"/>
            </w:tcBorders>
            <w:shd w:val="clear" w:color="auto" w:fill="auto"/>
            <w:noWrap/>
            <w:vAlign w:val="bottom"/>
          </w:tcPr>
          <w:p w:rsidR="001A6859" w:rsidRPr="0013311A" w:rsidRDefault="001A6859" w:rsidP="00700224">
            <w:pPr>
              <w:spacing w:before="60" w:after="60"/>
              <w:ind w:left="284" w:hanging="284"/>
              <w:jc w:val="right"/>
              <w:rPr>
                <w:rFonts w:ascii="Arial" w:hAnsi="Arial" w:cs="Arial"/>
                <w:sz w:val="16"/>
                <w:szCs w:val="16"/>
                <w:lang w:eastAsia="en-NZ"/>
              </w:rPr>
            </w:pPr>
            <w:r w:rsidRPr="0013311A">
              <w:rPr>
                <w:rFonts w:ascii="Arial" w:hAnsi="Arial" w:cs="Arial"/>
                <w:sz w:val="16"/>
                <w:szCs w:val="16"/>
              </w:rPr>
              <w:t>2.00</w:t>
            </w:r>
          </w:p>
        </w:tc>
        <w:tc>
          <w:tcPr>
            <w:tcW w:w="1028" w:type="dxa"/>
            <w:tcBorders>
              <w:top w:val="nil"/>
              <w:left w:val="single" w:sz="8" w:space="0" w:color="auto"/>
              <w:bottom w:val="single" w:sz="8" w:space="0" w:color="auto"/>
              <w:right w:val="nil"/>
            </w:tcBorders>
            <w:shd w:val="clear" w:color="auto" w:fill="auto"/>
            <w:noWrap/>
            <w:vAlign w:val="bottom"/>
          </w:tcPr>
          <w:p w:rsidR="001A6859" w:rsidRPr="0013311A" w:rsidRDefault="001A6859" w:rsidP="00700224">
            <w:pPr>
              <w:spacing w:before="60" w:after="60"/>
              <w:ind w:left="284" w:hanging="284"/>
              <w:jc w:val="right"/>
              <w:rPr>
                <w:rFonts w:ascii="Arial" w:hAnsi="Arial" w:cs="Arial"/>
                <w:sz w:val="16"/>
                <w:szCs w:val="16"/>
                <w:lang w:eastAsia="en-NZ"/>
              </w:rPr>
            </w:pPr>
            <w:r w:rsidRPr="0013311A">
              <w:rPr>
                <w:rFonts w:ascii="Arial" w:hAnsi="Arial" w:cs="Arial"/>
                <w:sz w:val="16"/>
                <w:szCs w:val="16"/>
              </w:rPr>
              <w:t>1.99</w:t>
            </w:r>
          </w:p>
        </w:tc>
        <w:tc>
          <w:tcPr>
            <w:tcW w:w="983" w:type="dxa"/>
            <w:tcBorders>
              <w:top w:val="nil"/>
              <w:left w:val="single" w:sz="8" w:space="0" w:color="auto"/>
              <w:bottom w:val="single" w:sz="8" w:space="0" w:color="auto"/>
              <w:right w:val="single" w:sz="8" w:space="0" w:color="auto"/>
            </w:tcBorders>
            <w:shd w:val="clear" w:color="auto" w:fill="auto"/>
            <w:noWrap/>
            <w:vAlign w:val="bottom"/>
          </w:tcPr>
          <w:p w:rsidR="001A6859" w:rsidRPr="0013311A" w:rsidRDefault="001A6859" w:rsidP="00700224">
            <w:pPr>
              <w:spacing w:before="60" w:after="60"/>
              <w:ind w:left="284" w:hanging="284"/>
              <w:jc w:val="right"/>
              <w:rPr>
                <w:rFonts w:ascii="Arial" w:hAnsi="Arial" w:cs="Arial"/>
                <w:sz w:val="16"/>
                <w:szCs w:val="16"/>
                <w:lang w:eastAsia="en-NZ"/>
              </w:rPr>
            </w:pPr>
            <w:r w:rsidRPr="0013311A">
              <w:rPr>
                <w:rFonts w:ascii="Arial" w:hAnsi="Arial" w:cs="Arial"/>
                <w:sz w:val="16"/>
                <w:szCs w:val="16"/>
              </w:rPr>
              <w:t>0.00513</w:t>
            </w:r>
          </w:p>
        </w:tc>
        <w:tc>
          <w:tcPr>
            <w:tcW w:w="1107" w:type="dxa"/>
            <w:tcBorders>
              <w:top w:val="nil"/>
              <w:left w:val="nil"/>
              <w:bottom w:val="single" w:sz="8" w:space="0" w:color="auto"/>
              <w:right w:val="nil"/>
            </w:tcBorders>
            <w:shd w:val="clear" w:color="auto" w:fill="auto"/>
            <w:noWrap/>
            <w:vAlign w:val="bottom"/>
          </w:tcPr>
          <w:p w:rsidR="001A6859" w:rsidRPr="0013311A" w:rsidRDefault="001A6859" w:rsidP="00700224">
            <w:pPr>
              <w:spacing w:before="60" w:after="60"/>
              <w:ind w:left="284" w:hanging="284"/>
              <w:jc w:val="right"/>
              <w:rPr>
                <w:rFonts w:ascii="Arial" w:hAnsi="Arial" w:cs="Arial"/>
                <w:sz w:val="16"/>
                <w:szCs w:val="16"/>
                <w:lang w:eastAsia="en-NZ"/>
              </w:rPr>
            </w:pPr>
            <w:r w:rsidRPr="0013311A">
              <w:rPr>
                <w:rFonts w:ascii="Arial" w:hAnsi="Arial" w:cs="Arial"/>
                <w:sz w:val="16"/>
                <w:szCs w:val="16"/>
              </w:rPr>
              <w:t>0.00917</w:t>
            </w:r>
          </w:p>
        </w:tc>
        <w:tc>
          <w:tcPr>
            <w:tcW w:w="993" w:type="dxa"/>
            <w:tcBorders>
              <w:top w:val="nil"/>
              <w:left w:val="single" w:sz="8" w:space="0" w:color="auto"/>
              <w:bottom w:val="single" w:sz="8" w:space="0" w:color="auto"/>
              <w:right w:val="single" w:sz="8" w:space="0" w:color="auto"/>
            </w:tcBorders>
            <w:shd w:val="clear" w:color="auto" w:fill="auto"/>
            <w:noWrap/>
            <w:vAlign w:val="bottom"/>
          </w:tcPr>
          <w:p w:rsidR="001A6859" w:rsidRPr="0013311A" w:rsidRDefault="001A6859" w:rsidP="00700224">
            <w:pPr>
              <w:spacing w:before="60" w:after="60"/>
              <w:ind w:left="284" w:hanging="284"/>
              <w:jc w:val="right"/>
              <w:rPr>
                <w:rFonts w:ascii="Arial" w:hAnsi="Arial" w:cs="Arial"/>
                <w:sz w:val="16"/>
                <w:szCs w:val="16"/>
                <w:lang w:eastAsia="en-NZ"/>
              </w:rPr>
            </w:pPr>
            <w:r w:rsidRPr="0013311A">
              <w:rPr>
                <w:rFonts w:ascii="Arial" w:hAnsi="Arial" w:cs="Arial"/>
                <w:sz w:val="16"/>
                <w:szCs w:val="16"/>
              </w:rPr>
              <w:t>3.5%</w:t>
            </w:r>
          </w:p>
        </w:tc>
      </w:tr>
      <w:tr w:rsidR="001A6859" w:rsidRPr="00D01DD3" w:rsidTr="00EE0B09">
        <w:trPr>
          <w:trHeight w:val="249"/>
        </w:trPr>
        <w:tc>
          <w:tcPr>
            <w:tcW w:w="1527" w:type="dxa"/>
            <w:tcBorders>
              <w:top w:val="single" w:sz="8" w:space="0" w:color="auto"/>
              <w:left w:val="single" w:sz="8" w:space="0" w:color="auto"/>
              <w:bottom w:val="single" w:sz="8" w:space="0" w:color="auto"/>
              <w:right w:val="single" w:sz="8" w:space="0" w:color="auto"/>
            </w:tcBorders>
            <w:shd w:val="clear" w:color="auto" w:fill="auto"/>
            <w:hideMark/>
          </w:tcPr>
          <w:p w:rsidR="001A6859" w:rsidRPr="0013311A" w:rsidRDefault="001A6859" w:rsidP="00700224">
            <w:pPr>
              <w:spacing w:before="60" w:after="60"/>
              <w:ind w:left="284" w:hanging="284"/>
              <w:jc w:val="left"/>
              <w:rPr>
                <w:rFonts w:ascii="Arial" w:hAnsi="Arial" w:cs="Arial"/>
                <w:sz w:val="16"/>
                <w:szCs w:val="16"/>
                <w:lang w:eastAsia="en-NZ"/>
              </w:rPr>
            </w:pPr>
            <w:r w:rsidRPr="0013311A">
              <w:rPr>
                <w:rFonts w:ascii="Arial" w:hAnsi="Arial" w:cs="Arial"/>
                <w:sz w:val="16"/>
                <w:szCs w:val="16"/>
                <w:lang w:eastAsia="en-NZ"/>
              </w:rPr>
              <w:lastRenderedPageBreak/>
              <w:t>Coal – lignite</w:t>
            </w:r>
          </w:p>
        </w:tc>
        <w:tc>
          <w:tcPr>
            <w:tcW w:w="1276" w:type="dxa"/>
            <w:tcBorders>
              <w:top w:val="single" w:sz="8" w:space="0" w:color="auto"/>
              <w:left w:val="nil"/>
              <w:bottom w:val="single" w:sz="8" w:space="0" w:color="auto"/>
              <w:right w:val="single" w:sz="8" w:space="0" w:color="auto"/>
            </w:tcBorders>
            <w:shd w:val="clear" w:color="auto" w:fill="auto"/>
            <w:hideMark/>
          </w:tcPr>
          <w:p w:rsidR="001A6859" w:rsidRPr="0013311A" w:rsidRDefault="001A6859" w:rsidP="0032465A">
            <w:pPr>
              <w:spacing w:before="60" w:after="60"/>
              <w:ind w:left="284" w:hanging="284"/>
              <w:jc w:val="left"/>
              <w:rPr>
                <w:rFonts w:ascii="Arial" w:hAnsi="Arial" w:cs="Arial"/>
                <w:sz w:val="16"/>
                <w:szCs w:val="16"/>
                <w:lang w:eastAsia="en-NZ"/>
              </w:rPr>
            </w:pPr>
            <w:r w:rsidRPr="0013311A">
              <w:rPr>
                <w:rFonts w:ascii="Arial" w:hAnsi="Arial" w:cs="Arial"/>
                <w:sz w:val="16"/>
                <w:szCs w:val="16"/>
                <w:lang w:eastAsia="en-NZ"/>
              </w:rPr>
              <w:t>Industry</w:t>
            </w:r>
          </w:p>
        </w:tc>
        <w:tc>
          <w:tcPr>
            <w:tcW w:w="567" w:type="dxa"/>
            <w:tcBorders>
              <w:top w:val="single" w:sz="8" w:space="0" w:color="auto"/>
              <w:left w:val="nil"/>
              <w:bottom w:val="single" w:sz="8" w:space="0" w:color="auto"/>
              <w:right w:val="single" w:sz="8" w:space="0" w:color="auto"/>
            </w:tcBorders>
            <w:shd w:val="clear" w:color="auto" w:fill="auto"/>
            <w:hideMark/>
          </w:tcPr>
          <w:p w:rsidR="001A6859" w:rsidRPr="0013311A" w:rsidRDefault="001A6859" w:rsidP="0032465A">
            <w:pPr>
              <w:spacing w:before="60" w:after="60"/>
              <w:ind w:left="284" w:hanging="284"/>
              <w:jc w:val="left"/>
              <w:rPr>
                <w:rFonts w:ascii="Arial" w:hAnsi="Arial" w:cs="Arial"/>
                <w:sz w:val="16"/>
                <w:szCs w:val="16"/>
                <w:lang w:eastAsia="en-NZ"/>
              </w:rPr>
            </w:pPr>
            <w:r w:rsidRPr="0013311A">
              <w:rPr>
                <w:rFonts w:ascii="Arial" w:hAnsi="Arial" w:cs="Arial"/>
                <w:sz w:val="16"/>
                <w:szCs w:val="16"/>
                <w:lang w:eastAsia="en-NZ"/>
              </w:rPr>
              <w:t>Kg</w:t>
            </w:r>
          </w:p>
        </w:tc>
        <w:tc>
          <w:tcPr>
            <w:tcW w:w="992" w:type="dxa"/>
            <w:tcBorders>
              <w:top w:val="single" w:sz="8" w:space="0" w:color="auto"/>
              <w:left w:val="nil"/>
              <w:bottom w:val="single" w:sz="8" w:space="0" w:color="auto"/>
              <w:right w:val="nil"/>
            </w:tcBorders>
            <w:shd w:val="clear" w:color="auto" w:fill="auto"/>
            <w:noWrap/>
            <w:vAlign w:val="bottom"/>
          </w:tcPr>
          <w:p w:rsidR="001A6859" w:rsidRPr="0013311A" w:rsidRDefault="001A6859" w:rsidP="00700224">
            <w:pPr>
              <w:spacing w:before="60" w:after="60"/>
              <w:ind w:left="284" w:hanging="284"/>
              <w:jc w:val="right"/>
              <w:rPr>
                <w:rFonts w:ascii="Arial" w:hAnsi="Arial" w:cs="Arial"/>
                <w:sz w:val="16"/>
                <w:szCs w:val="16"/>
                <w:lang w:eastAsia="en-NZ"/>
              </w:rPr>
            </w:pPr>
            <w:r w:rsidRPr="0013311A">
              <w:rPr>
                <w:rFonts w:ascii="Arial" w:hAnsi="Arial" w:cs="Arial"/>
                <w:sz w:val="16"/>
                <w:szCs w:val="16"/>
              </w:rPr>
              <w:t>1.43</w:t>
            </w:r>
          </w:p>
        </w:tc>
        <w:tc>
          <w:tcPr>
            <w:tcW w:w="1028" w:type="dxa"/>
            <w:tcBorders>
              <w:top w:val="single" w:sz="8" w:space="0" w:color="auto"/>
              <w:left w:val="single" w:sz="8" w:space="0" w:color="auto"/>
              <w:bottom w:val="single" w:sz="8" w:space="0" w:color="auto"/>
              <w:right w:val="nil"/>
            </w:tcBorders>
            <w:shd w:val="clear" w:color="auto" w:fill="auto"/>
            <w:noWrap/>
            <w:vAlign w:val="bottom"/>
          </w:tcPr>
          <w:p w:rsidR="001A6859" w:rsidRPr="0013311A" w:rsidRDefault="001A6859" w:rsidP="00700224">
            <w:pPr>
              <w:spacing w:before="60" w:after="60"/>
              <w:ind w:left="284" w:hanging="284"/>
              <w:jc w:val="right"/>
              <w:rPr>
                <w:rFonts w:ascii="Arial" w:hAnsi="Arial" w:cs="Arial"/>
                <w:sz w:val="16"/>
                <w:szCs w:val="16"/>
                <w:lang w:eastAsia="en-NZ"/>
              </w:rPr>
            </w:pPr>
            <w:r w:rsidRPr="0013311A">
              <w:rPr>
                <w:rFonts w:ascii="Arial" w:hAnsi="Arial" w:cs="Arial"/>
                <w:sz w:val="16"/>
                <w:szCs w:val="16"/>
              </w:rPr>
              <w:t>1.42</w:t>
            </w:r>
          </w:p>
        </w:tc>
        <w:tc>
          <w:tcPr>
            <w:tcW w:w="983" w:type="dxa"/>
            <w:tcBorders>
              <w:top w:val="single" w:sz="8" w:space="0" w:color="auto"/>
              <w:left w:val="single" w:sz="8" w:space="0" w:color="auto"/>
              <w:bottom w:val="single" w:sz="8" w:space="0" w:color="auto"/>
              <w:right w:val="single" w:sz="8" w:space="0" w:color="auto"/>
            </w:tcBorders>
            <w:shd w:val="clear" w:color="auto" w:fill="auto"/>
            <w:noWrap/>
            <w:vAlign w:val="bottom"/>
          </w:tcPr>
          <w:p w:rsidR="001A6859" w:rsidRPr="0013311A" w:rsidRDefault="001A6859" w:rsidP="00700224">
            <w:pPr>
              <w:spacing w:before="60" w:after="60"/>
              <w:ind w:left="284" w:hanging="284"/>
              <w:jc w:val="right"/>
              <w:rPr>
                <w:rFonts w:ascii="Arial" w:hAnsi="Arial" w:cs="Arial"/>
                <w:sz w:val="16"/>
                <w:szCs w:val="16"/>
                <w:lang w:eastAsia="en-NZ"/>
              </w:rPr>
            </w:pPr>
            <w:r w:rsidRPr="0013311A">
              <w:rPr>
                <w:rFonts w:ascii="Arial" w:hAnsi="Arial" w:cs="Arial"/>
                <w:sz w:val="16"/>
                <w:szCs w:val="16"/>
              </w:rPr>
              <w:t>0.00363</w:t>
            </w:r>
          </w:p>
        </w:tc>
        <w:tc>
          <w:tcPr>
            <w:tcW w:w="1107" w:type="dxa"/>
            <w:tcBorders>
              <w:top w:val="single" w:sz="8" w:space="0" w:color="auto"/>
              <w:left w:val="nil"/>
              <w:bottom w:val="single" w:sz="8" w:space="0" w:color="auto"/>
              <w:right w:val="nil"/>
            </w:tcBorders>
            <w:shd w:val="clear" w:color="auto" w:fill="auto"/>
            <w:noWrap/>
            <w:vAlign w:val="bottom"/>
          </w:tcPr>
          <w:p w:rsidR="001A6859" w:rsidRPr="0013311A" w:rsidRDefault="001A6859" w:rsidP="00700224">
            <w:pPr>
              <w:spacing w:before="60" w:after="60"/>
              <w:ind w:left="284" w:hanging="284"/>
              <w:jc w:val="right"/>
              <w:rPr>
                <w:rFonts w:ascii="Arial" w:hAnsi="Arial" w:cs="Arial"/>
                <w:sz w:val="16"/>
                <w:szCs w:val="16"/>
                <w:lang w:eastAsia="en-NZ"/>
              </w:rPr>
            </w:pPr>
            <w:r w:rsidRPr="0013311A">
              <w:rPr>
                <w:rFonts w:ascii="Arial" w:hAnsi="Arial" w:cs="Arial"/>
                <w:sz w:val="16"/>
                <w:szCs w:val="16"/>
              </w:rPr>
              <w:t>0.00648</w:t>
            </w:r>
          </w:p>
        </w:tc>
        <w:tc>
          <w:tcPr>
            <w:tcW w:w="993" w:type="dxa"/>
            <w:tcBorders>
              <w:top w:val="single" w:sz="8" w:space="0" w:color="auto"/>
              <w:left w:val="single" w:sz="8" w:space="0" w:color="auto"/>
              <w:bottom w:val="single" w:sz="8" w:space="0" w:color="auto"/>
              <w:right w:val="single" w:sz="8" w:space="0" w:color="auto"/>
            </w:tcBorders>
            <w:shd w:val="clear" w:color="auto" w:fill="auto"/>
            <w:noWrap/>
            <w:vAlign w:val="bottom"/>
          </w:tcPr>
          <w:p w:rsidR="001A6859" w:rsidRPr="0013311A" w:rsidRDefault="001A6859" w:rsidP="00700224">
            <w:pPr>
              <w:spacing w:before="60" w:after="60"/>
              <w:ind w:left="284" w:hanging="284"/>
              <w:jc w:val="right"/>
              <w:rPr>
                <w:rFonts w:ascii="Arial" w:hAnsi="Arial" w:cs="Arial"/>
                <w:sz w:val="16"/>
                <w:szCs w:val="16"/>
                <w:lang w:eastAsia="en-NZ"/>
              </w:rPr>
            </w:pPr>
            <w:r w:rsidRPr="0013311A">
              <w:rPr>
                <w:rFonts w:ascii="Arial" w:hAnsi="Arial" w:cs="Arial"/>
                <w:sz w:val="16"/>
                <w:szCs w:val="16"/>
              </w:rPr>
              <w:t>3.5%</w:t>
            </w:r>
          </w:p>
        </w:tc>
      </w:tr>
      <w:tr w:rsidR="001A6859" w:rsidRPr="00D01DD3" w:rsidTr="00EE0B09">
        <w:trPr>
          <w:trHeight w:val="249"/>
        </w:trPr>
        <w:tc>
          <w:tcPr>
            <w:tcW w:w="1527" w:type="dxa"/>
            <w:tcBorders>
              <w:top w:val="single" w:sz="8" w:space="0" w:color="auto"/>
              <w:left w:val="single" w:sz="8" w:space="0" w:color="auto"/>
              <w:bottom w:val="single" w:sz="8" w:space="0" w:color="auto"/>
              <w:right w:val="single" w:sz="8" w:space="0" w:color="auto"/>
            </w:tcBorders>
            <w:shd w:val="clear" w:color="auto" w:fill="auto"/>
            <w:hideMark/>
          </w:tcPr>
          <w:p w:rsidR="001A6859" w:rsidRPr="0013311A" w:rsidRDefault="001A6859" w:rsidP="00700224">
            <w:pPr>
              <w:spacing w:before="60" w:after="60"/>
              <w:ind w:left="284" w:hanging="284"/>
              <w:jc w:val="left"/>
              <w:rPr>
                <w:rFonts w:ascii="Arial" w:hAnsi="Arial" w:cs="Arial"/>
                <w:sz w:val="16"/>
                <w:szCs w:val="16"/>
                <w:lang w:eastAsia="en-NZ"/>
              </w:rPr>
            </w:pPr>
            <w:r w:rsidRPr="0013311A">
              <w:rPr>
                <w:rFonts w:ascii="Arial" w:hAnsi="Arial" w:cs="Arial"/>
                <w:sz w:val="16"/>
                <w:szCs w:val="16"/>
                <w:lang w:eastAsia="en-NZ"/>
              </w:rPr>
              <w:t>Coal – default*</w:t>
            </w:r>
          </w:p>
        </w:tc>
        <w:tc>
          <w:tcPr>
            <w:tcW w:w="1276" w:type="dxa"/>
            <w:tcBorders>
              <w:top w:val="single" w:sz="8" w:space="0" w:color="auto"/>
              <w:left w:val="nil"/>
              <w:bottom w:val="single" w:sz="8" w:space="0" w:color="auto"/>
              <w:right w:val="single" w:sz="8" w:space="0" w:color="auto"/>
            </w:tcBorders>
            <w:shd w:val="clear" w:color="auto" w:fill="auto"/>
            <w:hideMark/>
          </w:tcPr>
          <w:p w:rsidR="001A6859" w:rsidRPr="0013311A" w:rsidRDefault="001A6859" w:rsidP="0032465A">
            <w:pPr>
              <w:spacing w:before="60" w:after="60"/>
              <w:ind w:left="284" w:hanging="284"/>
              <w:rPr>
                <w:rFonts w:ascii="Arial" w:hAnsi="Arial" w:cs="Arial"/>
                <w:sz w:val="16"/>
                <w:szCs w:val="16"/>
                <w:lang w:eastAsia="en-NZ"/>
              </w:rPr>
            </w:pPr>
            <w:r w:rsidRPr="0013311A">
              <w:rPr>
                <w:rFonts w:ascii="Arial" w:hAnsi="Arial" w:cs="Arial"/>
                <w:sz w:val="16"/>
                <w:szCs w:val="16"/>
                <w:lang w:eastAsia="en-NZ"/>
              </w:rPr>
              <w:t>Industry</w:t>
            </w:r>
          </w:p>
        </w:tc>
        <w:tc>
          <w:tcPr>
            <w:tcW w:w="567" w:type="dxa"/>
            <w:tcBorders>
              <w:top w:val="single" w:sz="8" w:space="0" w:color="auto"/>
              <w:left w:val="nil"/>
              <w:bottom w:val="single" w:sz="8" w:space="0" w:color="auto"/>
              <w:right w:val="single" w:sz="8" w:space="0" w:color="auto"/>
            </w:tcBorders>
            <w:shd w:val="clear" w:color="auto" w:fill="auto"/>
            <w:hideMark/>
          </w:tcPr>
          <w:p w:rsidR="001A6859" w:rsidRPr="0013311A" w:rsidRDefault="001A6859" w:rsidP="0032465A">
            <w:pPr>
              <w:spacing w:before="60" w:after="60"/>
              <w:ind w:left="284" w:hanging="284"/>
              <w:rPr>
                <w:rFonts w:ascii="Arial" w:hAnsi="Arial" w:cs="Arial"/>
                <w:sz w:val="16"/>
                <w:szCs w:val="16"/>
                <w:lang w:eastAsia="en-NZ"/>
              </w:rPr>
            </w:pPr>
            <w:r w:rsidRPr="0013311A">
              <w:rPr>
                <w:rFonts w:ascii="Arial" w:hAnsi="Arial" w:cs="Arial"/>
                <w:sz w:val="16"/>
                <w:szCs w:val="16"/>
                <w:lang w:eastAsia="en-NZ"/>
              </w:rPr>
              <w:t>Kg</w:t>
            </w:r>
          </w:p>
        </w:tc>
        <w:tc>
          <w:tcPr>
            <w:tcW w:w="992" w:type="dxa"/>
            <w:tcBorders>
              <w:top w:val="single" w:sz="8" w:space="0" w:color="auto"/>
              <w:left w:val="nil"/>
              <w:bottom w:val="single" w:sz="8" w:space="0" w:color="auto"/>
              <w:right w:val="nil"/>
            </w:tcBorders>
            <w:shd w:val="clear" w:color="auto" w:fill="auto"/>
            <w:noWrap/>
            <w:vAlign w:val="bottom"/>
          </w:tcPr>
          <w:p w:rsidR="001A6859" w:rsidRPr="0013311A" w:rsidRDefault="001A6859" w:rsidP="00700224">
            <w:pPr>
              <w:spacing w:before="60" w:after="60"/>
              <w:ind w:left="284" w:hanging="284"/>
              <w:jc w:val="right"/>
              <w:rPr>
                <w:rFonts w:ascii="Arial" w:hAnsi="Arial" w:cs="Arial"/>
                <w:sz w:val="16"/>
                <w:szCs w:val="16"/>
                <w:lang w:eastAsia="en-NZ"/>
              </w:rPr>
            </w:pPr>
            <w:r w:rsidRPr="0013311A">
              <w:rPr>
                <w:rFonts w:ascii="Arial" w:hAnsi="Arial" w:cs="Arial"/>
                <w:sz w:val="16"/>
                <w:szCs w:val="16"/>
              </w:rPr>
              <w:t>2.30</w:t>
            </w:r>
          </w:p>
        </w:tc>
        <w:tc>
          <w:tcPr>
            <w:tcW w:w="1028" w:type="dxa"/>
            <w:tcBorders>
              <w:top w:val="single" w:sz="8" w:space="0" w:color="auto"/>
              <w:left w:val="single" w:sz="8" w:space="0" w:color="auto"/>
              <w:bottom w:val="single" w:sz="8" w:space="0" w:color="auto"/>
              <w:right w:val="nil"/>
            </w:tcBorders>
            <w:shd w:val="clear" w:color="auto" w:fill="auto"/>
            <w:noWrap/>
            <w:vAlign w:val="bottom"/>
          </w:tcPr>
          <w:p w:rsidR="001A6859" w:rsidRPr="0013311A" w:rsidRDefault="001A6859" w:rsidP="00700224">
            <w:pPr>
              <w:spacing w:before="60" w:after="60"/>
              <w:ind w:left="284" w:hanging="284"/>
              <w:jc w:val="right"/>
              <w:rPr>
                <w:rFonts w:ascii="Arial" w:hAnsi="Arial" w:cs="Arial"/>
                <w:sz w:val="16"/>
                <w:szCs w:val="16"/>
                <w:lang w:eastAsia="en-NZ"/>
              </w:rPr>
            </w:pPr>
            <w:r w:rsidRPr="0013311A">
              <w:rPr>
                <w:rFonts w:ascii="Arial" w:hAnsi="Arial" w:cs="Arial"/>
                <w:sz w:val="16"/>
                <w:szCs w:val="16"/>
              </w:rPr>
              <w:t>2.29</w:t>
            </w:r>
          </w:p>
        </w:tc>
        <w:tc>
          <w:tcPr>
            <w:tcW w:w="983" w:type="dxa"/>
            <w:tcBorders>
              <w:top w:val="single" w:sz="8" w:space="0" w:color="auto"/>
              <w:left w:val="single" w:sz="8" w:space="0" w:color="auto"/>
              <w:bottom w:val="single" w:sz="8" w:space="0" w:color="auto"/>
              <w:right w:val="single" w:sz="8" w:space="0" w:color="auto"/>
            </w:tcBorders>
            <w:shd w:val="clear" w:color="auto" w:fill="auto"/>
            <w:noWrap/>
            <w:vAlign w:val="bottom"/>
          </w:tcPr>
          <w:p w:rsidR="001A6859" w:rsidRPr="0013311A" w:rsidRDefault="001A6859" w:rsidP="00700224">
            <w:pPr>
              <w:spacing w:before="60" w:after="60"/>
              <w:ind w:left="284" w:hanging="284"/>
              <w:jc w:val="right"/>
              <w:rPr>
                <w:rFonts w:ascii="Arial" w:hAnsi="Arial" w:cs="Arial"/>
                <w:sz w:val="16"/>
                <w:szCs w:val="16"/>
                <w:lang w:eastAsia="en-NZ"/>
              </w:rPr>
            </w:pPr>
            <w:r w:rsidRPr="0013311A">
              <w:rPr>
                <w:rFonts w:ascii="Arial" w:hAnsi="Arial" w:cs="Arial"/>
                <w:sz w:val="16"/>
                <w:szCs w:val="16"/>
              </w:rPr>
              <w:t>0.00601</w:t>
            </w:r>
          </w:p>
        </w:tc>
        <w:tc>
          <w:tcPr>
            <w:tcW w:w="1107" w:type="dxa"/>
            <w:tcBorders>
              <w:top w:val="single" w:sz="8" w:space="0" w:color="auto"/>
              <w:left w:val="nil"/>
              <w:bottom w:val="single" w:sz="8" w:space="0" w:color="auto"/>
              <w:right w:val="nil"/>
            </w:tcBorders>
            <w:shd w:val="clear" w:color="auto" w:fill="auto"/>
            <w:noWrap/>
            <w:vAlign w:val="bottom"/>
          </w:tcPr>
          <w:p w:rsidR="001A6859" w:rsidRPr="0013311A" w:rsidRDefault="001A6859" w:rsidP="00700224">
            <w:pPr>
              <w:spacing w:before="60" w:after="60"/>
              <w:ind w:left="284" w:hanging="284"/>
              <w:jc w:val="right"/>
              <w:rPr>
                <w:rFonts w:ascii="Arial" w:hAnsi="Arial" w:cs="Arial"/>
                <w:sz w:val="16"/>
                <w:szCs w:val="16"/>
                <w:lang w:eastAsia="en-NZ"/>
              </w:rPr>
            </w:pPr>
            <w:r w:rsidRPr="0013311A">
              <w:rPr>
                <w:rFonts w:ascii="Arial" w:hAnsi="Arial" w:cs="Arial"/>
                <w:sz w:val="16"/>
                <w:szCs w:val="16"/>
              </w:rPr>
              <w:t>0.0108</w:t>
            </w:r>
          </w:p>
        </w:tc>
        <w:tc>
          <w:tcPr>
            <w:tcW w:w="993" w:type="dxa"/>
            <w:tcBorders>
              <w:top w:val="single" w:sz="8" w:space="0" w:color="auto"/>
              <w:left w:val="single" w:sz="8" w:space="0" w:color="auto"/>
              <w:bottom w:val="single" w:sz="8" w:space="0" w:color="auto"/>
              <w:right w:val="single" w:sz="8" w:space="0" w:color="auto"/>
            </w:tcBorders>
            <w:shd w:val="clear" w:color="auto" w:fill="auto"/>
            <w:noWrap/>
            <w:vAlign w:val="bottom"/>
          </w:tcPr>
          <w:p w:rsidR="001A6859" w:rsidRPr="0013311A" w:rsidRDefault="001A6859" w:rsidP="00700224">
            <w:pPr>
              <w:spacing w:before="60" w:after="60"/>
              <w:ind w:left="284" w:hanging="284"/>
              <w:jc w:val="right"/>
              <w:rPr>
                <w:rFonts w:ascii="Arial" w:hAnsi="Arial" w:cs="Arial"/>
                <w:sz w:val="16"/>
                <w:szCs w:val="16"/>
                <w:lang w:eastAsia="en-NZ"/>
              </w:rPr>
            </w:pPr>
            <w:r w:rsidRPr="0013311A">
              <w:rPr>
                <w:rFonts w:ascii="Arial" w:hAnsi="Arial" w:cs="Arial"/>
                <w:sz w:val="16"/>
                <w:szCs w:val="16"/>
              </w:rPr>
              <w:t>3.5%</w:t>
            </w:r>
          </w:p>
        </w:tc>
      </w:tr>
      <w:tr w:rsidR="001A6859" w:rsidRPr="00D01DD3" w:rsidTr="00EE0B09">
        <w:trPr>
          <w:trHeight w:val="163"/>
        </w:trPr>
        <w:tc>
          <w:tcPr>
            <w:tcW w:w="1527" w:type="dxa"/>
            <w:tcBorders>
              <w:top w:val="nil"/>
              <w:left w:val="single" w:sz="8" w:space="0" w:color="auto"/>
              <w:bottom w:val="single" w:sz="8" w:space="0" w:color="auto"/>
              <w:right w:val="single" w:sz="8" w:space="0" w:color="auto"/>
            </w:tcBorders>
            <w:shd w:val="clear" w:color="auto" w:fill="auto"/>
            <w:hideMark/>
          </w:tcPr>
          <w:p w:rsidR="001A6859" w:rsidRPr="0013311A" w:rsidRDefault="001A6859" w:rsidP="00700224">
            <w:pPr>
              <w:spacing w:before="60" w:after="60"/>
              <w:ind w:left="284" w:hanging="284"/>
              <w:jc w:val="left"/>
              <w:rPr>
                <w:rFonts w:ascii="Arial" w:hAnsi="Arial" w:cs="Arial"/>
                <w:sz w:val="16"/>
                <w:szCs w:val="16"/>
                <w:lang w:eastAsia="en-NZ"/>
              </w:rPr>
            </w:pPr>
            <w:r w:rsidRPr="0013311A">
              <w:rPr>
                <w:rFonts w:ascii="Arial" w:hAnsi="Arial" w:cs="Arial"/>
                <w:sz w:val="16"/>
                <w:szCs w:val="16"/>
                <w:lang w:eastAsia="en-NZ"/>
              </w:rPr>
              <w:t>Diesel</w:t>
            </w:r>
          </w:p>
        </w:tc>
        <w:tc>
          <w:tcPr>
            <w:tcW w:w="1276" w:type="dxa"/>
            <w:tcBorders>
              <w:top w:val="nil"/>
              <w:left w:val="nil"/>
              <w:bottom w:val="single" w:sz="8" w:space="0" w:color="auto"/>
              <w:right w:val="single" w:sz="8" w:space="0" w:color="auto"/>
            </w:tcBorders>
            <w:shd w:val="clear" w:color="auto" w:fill="auto"/>
            <w:hideMark/>
          </w:tcPr>
          <w:p w:rsidR="001A6859" w:rsidRPr="0013311A" w:rsidRDefault="001A6859" w:rsidP="0032465A">
            <w:pPr>
              <w:spacing w:before="60" w:after="60"/>
              <w:ind w:left="284" w:hanging="284"/>
              <w:rPr>
                <w:rFonts w:ascii="Arial" w:hAnsi="Arial" w:cs="Arial"/>
                <w:sz w:val="16"/>
                <w:szCs w:val="16"/>
                <w:lang w:eastAsia="en-NZ"/>
              </w:rPr>
            </w:pPr>
            <w:r w:rsidRPr="0013311A">
              <w:rPr>
                <w:rFonts w:ascii="Arial" w:hAnsi="Arial" w:cs="Arial"/>
                <w:sz w:val="16"/>
                <w:szCs w:val="16"/>
                <w:lang w:eastAsia="en-NZ"/>
              </w:rPr>
              <w:t>Industry</w:t>
            </w:r>
          </w:p>
        </w:tc>
        <w:tc>
          <w:tcPr>
            <w:tcW w:w="567" w:type="dxa"/>
            <w:tcBorders>
              <w:top w:val="nil"/>
              <w:left w:val="nil"/>
              <w:bottom w:val="single" w:sz="8" w:space="0" w:color="auto"/>
              <w:right w:val="single" w:sz="8" w:space="0" w:color="auto"/>
            </w:tcBorders>
            <w:shd w:val="clear" w:color="auto" w:fill="auto"/>
            <w:hideMark/>
          </w:tcPr>
          <w:p w:rsidR="001A6859" w:rsidRPr="0013311A" w:rsidRDefault="001A6859" w:rsidP="0032465A">
            <w:pPr>
              <w:spacing w:before="60" w:after="60"/>
              <w:ind w:left="284" w:hanging="284"/>
              <w:rPr>
                <w:rFonts w:ascii="Arial" w:hAnsi="Arial" w:cs="Arial"/>
                <w:sz w:val="16"/>
                <w:szCs w:val="16"/>
                <w:lang w:eastAsia="en-NZ"/>
              </w:rPr>
            </w:pPr>
            <w:r w:rsidRPr="0013311A">
              <w:rPr>
                <w:rFonts w:ascii="Arial" w:hAnsi="Arial" w:cs="Arial"/>
                <w:sz w:val="16"/>
                <w:szCs w:val="16"/>
                <w:lang w:eastAsia="en-NZ"/>
              </w:rPr>
              <w:t>Litre</w:t>
            </w:r>
          </w:p>
        </w:tc>
        <w:tc>
          <w:tcPr>
            <w:tcW w:w="992" w:type="dxa"/>
            <w:tcBorders>
              <w:top w:val="nil"/>
              <w:left w:val="nil"/>
              <w:bottom w:val="single" w:sz="8" w:space="0" w:color="auto"/>
              <w:right w:val="nil"/>
            </w:tcBorders>
            <w:shd w:val="clear" w:color="auto" w:fill="auto"/>
            <w:noWrap/>
            <w:vAlign w:val="bottom"/>
          </w:tcPr>
          <w:p w:rsidR="001A6859" w:rsidRPr="0013311A" w:rsidRDefault="001A6859" w:rsidP="00700224">
            <w:pPr>
              <w:spacing w:before="60" w:after="60"/>
              <w:ind w:left="284" w:hanging="284"/>
              <w:jc w:val="right"/>
              <w:rPr>
                <w:rFonts w:ascii="Arial" w:hAnsi="Arial" w:cs="Arial"/>
                <w:sz w:val="16"/>
                <w:szCs w:val="16"/>
                <w:lang w:eastAsia="en-NZ"/>
              </w:rPr>
            </w:pPr>
            <w:r w:rsidRPr="0013311A">
              <w:rPr>
                <w:rFonts w:ascii="Arial" w:hAnsi="Arial" w:cs="Arial"/>
                <w:sz w:val="16"/>
                <w:szCs w:val="16"/>
              </w:rPr>
              <w:t>2.68</w:t>
            </w:r>
          </w:p>
        </w:tc>
        <w:tc>
          <w:tcPr>
            <w:tcW w:w="1028" w:type="dxa"/>
            <w:tcBorders>
              <w:top w:val="nil"/>
              <w:left w:val="single" w:sz="8" w:space="0" w:color="auto"/>
              <w:bottom w:val="single" w:sz="8" w:space="0" w:color="auto"/>
              <w:right w:val="nil"/>
            </w:tcBorders>
            <w:shd w:val="clear" w:color="auto" w:fill="auto"/>
            <w:noWrap/>
            <w:vAlign w:val="bottom"/>
          </w:tcPr>
          <w:p w:rsidR="001A6859" w:rsidRPr="0013311A" w:rsidRDefault="001A6859" w:rsidP="00700224">
            <w:pPr>
              <w:spacing w:before="60" w:after="60"/>
              <w:ind w:left="284" w:hanging="284"/>
              <w:jc w:val="right"/>
              <w:rPr>
                <w:rFonts w:ascii="Arial" w:hAnsi="Arial" w:cs="Arial"/>
                <w:sz w:val="16"/>
                <w:szCs w:val="16"/>
                <w:lang w:eastAsia="en-NZ"/>
              </w:rPr>
            </w:pPr>
            <w:r w:rsidRPr="0013311A">
              <w:rPr>
                <w:rFonts w:ascii="Arial" w:hAnsi="Arial" w:cs="Arial"/>
                <w:sz w:val="16"/>
                <w:szCs w:val="16"/>
              </w:rPr>
              <w:t>2.67</w:t>
            </w:r>
          </w:p>
        </w:tc>
        <w:tc>
          <w:tcPr>
            <w:tcW w:w="983" w:type="dxa"/>
            <w:tcBorders>
              <w:top w:val="nil"/>
              <w:left w:val="single" w:sz="8" w:space="0" w:color="auto"/>
              <w:bottom w:val="single" w:sz="8" w:space="0" w:color="auto"/>
              <w:right w:val="single" w:sz="8" w:space="0" w:color="auto"/>
            </w:tcBorders>
            <w:shd w:val="clear" w:color="auto" w:fill="auto"/>
            <w:noWrap/>
            <w:vAlign w:val="bottom"/>
          </w:tcPr>
          <w:p w:rsidR="001A6859" w:rsidRPr="0013311A" w:rsidRDefault="001A6859" w:rsidP="00700224">
            <w:pPr>
              <w:spacing w:before="60" w:after="60"/>
              <w:ind w:left="284" w:hanging="284"/>
              <w:jc w:val="right"/>
              <w:rPr>
                <w:rFonts w:ascii="Arial" w:hAnsi="Arial" w:cs="Arial"/>
                <w:sz w:val="16"/>
                <w:szCs w:val="16"/>
                <w:lang w:eastAsia="en-NZ"/>
              </w:rPr>
            </w:pPr>
            <w:r w:rsidRPr="0013311A">
              <w:rPr>
                <w:rFonts w:ascii="Arial" w:hAnsi="Arial" w:cs="Arial"/>
                <w:sz w:val="16"/>
                <w:szCs w:val="16"/>
              </w:rPr>
              <w:t>0.00274</w:t>
            </w:r>
          </w:p>
        </w:tc>
        <w:tc>
          <w:tcPr>
            <w:tcW w:w="1107" w:type="dxa"/>
            <w:tcBorders>
              <w:top w:val="nil"/>
              <w:left w:val="nil"/>
              <w:bottom w:val="single" w:sz="8" w:space="0" w:color="auto"/>
              <w:right w:val="single" w:sz="8" w:space="0" w:color="auto"/>
            </w:tcBorders>
            <w:shd w:val="clear" w:color="auto" w:fill="auto"/>
            <w:noWrap/>
            <w:vAlign w:val="bottom"/>
          </w:tcPr>
          <w:p w:rsidR="001A6859" w:rsidRPr="0013311A" w:rsidRDefault="001A6859" w:rsidP="00700224">
            <w:pPr>
              <w:spacing w:before="60" w:after="60"/>
              <w:ind w:left="284" w:hanging="284"/>
              <w:jc w:val="right"/>
              <w:rPr>
                <w:rFonts w:ascii="Arial" w:hAnsi="Arial" w:cs="Arial"/>
                <w:sz w:val="16"/>
                <w:szCs w:val="16"/>
                <w:lang w:eastAsia="en-NZ"/>
              </w:rPr>
            </w:pPr>
            <w:r w:rsidRPr="0013311A">
              <w:rPr>
                <w:rFonts w:ascii="Arial" w:hAnsi="Arial" w:cs="Arial"/>
                <w:sz w:val="16"/>
                <w:szCs w:val="16"/>
              </w:rPr>
              <w:t>0.00652</w:t>
            </w:r>
          </w:p>
        </w:tc>
        <w:tc>
          <w:tcPr>
            <w:tcW w:w="993" w:type="dxa"/>
            <w:tcBorders>
              <w:top w:val="nil"/>
              <w:left w:val="nil"/>
              <w:bottom w:val="single" w:sz="8" w:space="0" w:color="auto"/>
              <w:right w:val="single" w:sz="8" w:space="0" w:color="auto"/>
            </w:tcBorders>
            <w:shd w:val="clear" w:color="auto" w:fill="auto"/>
            <w:noWrap/>
            <w:vAlign w:val="bottom"/>
          </w:tcPr>
          <w:p w:rsidR="001A6859" w:rsidRPr="0013311A" w:rsidRDefault="001A6859" w:rsidP="00700224">
            <w:pPr>
              <w:spacing w:before="60" w:after="60"/>
              <w:ind w:left="284" w:hanging="284"/>
              <w:jc w:val="right"/>
              <w:rPr>
                <w:rFonts w:ascii="Arial" w:hAnsi="Arial" w:cs="Arial"/>
                <w:sz w:val="16"/>
                <w:szCs w:val="16"/>
                <w:lang w:eastAsia="en-NZ"/>
              </w:rPr>
            </w:pPr>
            <w:r w:rsidRPr="0013311A">
              <w:rPr>
                <w:rFonts w:ascii="Arial" w:hAnsi="Arial" w:cs="Arial"/>
                <w:sz w:val="16"/>
                <w:szCs w:val="16"/>
              </w:rPr>
              <w:t>0.5%</w:t>
            </w:r>
          </w:p>
        </w:tc>
      </w:tr>
      <w:tr w:rsidR="001A6859" w:rsidRPr="00D01DD3" w:rsidTr="00EE0B09">
        <w:trPr>
          <w:trHeight w:val="163"/>
        </w:trPr>
        <w:tc>
          <w:tcPr>
            <w:tcW w:w="1527" w:type="dxa"/>
            <w:tcBorders>
              <w:top w:val="nil"/>
              <w:left w:val="single" w:sz="8" w:space="0" w:color="auto"/>
              <w:bottom w:val="single" w:sz="8" w:space="0" w:color="auto"/>
              <w:right w:val="single" w:sz="8" w:space="0" w:color="auto"/>
            </w:tcBorders>
            <w:shd w:val="clear" w:color="auto" w:fill="auto"/>
            <w:hideMark/>
          </w:tcPr>
          <w:p w:rsidR="001A6859" w:rsidRPr="0013311A" w:rsidRDefault="001A6859" w:rsidP="00700224">
            <w:pPr>
              <w:spacing w:before="60" w:after="60"/>
              <w:ind w:left="284" w:hanging="284"/>
              <w:jc w:val="left"/>
              <w:rPr>
                <w:rFonts w:ascii="Arial" w:hAnsi="Arial" w:cs="Arial"/>
                <w:sz w:val="16"/>
                <w:szCs w:val="16"/>
                <w:lang w:eastAsia="en-NZ"/>
              </w:rPr>
            </w:pPr>
            <w:r w:rsidRPr="0013311A">
              <w:rPr>
                <w:rFonts w:ascii="Arial" w:hAnsi="Arial" w:cs="Arial"/>
                <w:sz w:val="16"/>
                <w:szCs w:val="16"/>
                <w:lang w:eastAsia="en-NZ"/>
              </w:rPr>
              <w:t>LPG**</w:t>
            </w:r>
          </w:p>
        </w:tc>
        <w:tc>
          <w:tcPr>
            <w:tcW w:w="1276" w:type="dxa"/>
            <w:tcBorders>
              <w:top w:val="nil"/>
              <w:left w:val="nil"/>
              <w:bottom w:val="single" w:sz="8" w:space="0" w:color="auto"/>
              <w:right w:val="single" w:sz="8" w:space="0" w:color="auto"/>
            </w:tcBorders>
            <w:shd w:val="clear" w:color="auto" w:fill="auto"/>
            <w:hideMark/>
          </w:tcPr>
          <w:p w:rsidR="001A6859" w:rsidRPr="0013311A" w:rsidRDefault="001A6859" w:rsidP="0032465A">
            <w:pPr>
              <w:spacing w:before="60" w:after="60"/>
              <w:ind w:left="284" w:hanging="284"/>
              <w:rPr>
                <w:rFonts w:ascii="Arial" w:hAnsi="Arial" w:cs="Arial"/>
                <w:sz w:val="16"/>
                <w:szCs w:val="16"/>
                <w:lang w:eastAsia="en-NZ"/>
              </w:rPr>
            </w:pPr>
            <w:r w:rsidRPr="0013311A">
              <w:rPr>
                <w:rFonts w:ascii="Arial" w:hAnsi="Arial" w:cs="Arial"/>
                <w:sz w:val="16"/>
                <w:szCs w:val="16"/>
                <w:lang w:eastAsia="en-NZ"/>
              </w:rPr>
              <w:t>Industry</w:t>
            </w:r>
          </w:p>
        </w:tc>
        <w:tc>
          <w:tcPr>
            <w:tcW w:w="567" w:type="dxa"/>
            <w:tcBorders>
              <w:top w:val="nil"/>
              <w:left w:val="nil"/>
              <w:bottom w:val="single" w:sz="8" w:space="0" w:color="auto"/>
              <w:right w:val="single" w:sz="8" w:space="0" w:color="auto"/>
            </w:tcBorders>
            <w:shd w:val="clear" w:color="auto" w:fill="auto"/>
            <w:hideMark/>
          </w:tcPr>
          <w:p w:rsidR="001A6859" w:rsidRPr="0013311A" w:rsidRDefault="001A6859" w:rsidP="0032465A">
            <w:pPr>
              <w:spacing w:before="60" w:after="60"/>
              <w:ind w:left="284" w:hanging="284"/>
              <w:rPr>
                <w:rFonts w:ascii="Arial" w:hAnsi="Arial" w:cs="Arial"/>
                <w:sz w:val="16"/>
                <w:szCs w:val="16"/>
                <w:lang w:eastAsia="en-NZ"/>
              </w:rPr>
            </w:pPr>
            <w:r w:rsidRPr="0013311A">
              <w:rPr>
                <w:rFonts w:ascii="Arial" w:hAnsi="Arial" w:cs="Arial"/>
                <w:sz w:val="16"/>
                <w:szCs w:val="16"/>
                <w:lang w:eastAsia="en-NZ"/>
              </w:rPr>
              <w:t>Kg</w:t>
            </w:r>
          </w:p>
        </w:tc>
        <w:tc>
          <w:tcPr>
            <w:tcW w:w="992" w:type="dxa"/>
            <w:tcBorders>
              <w:top w:val="nil"/>
              <w:left w:val="nil"/>
              <w:bottom w:val="single" w:sz="8" w:space="0" w:color="auto"/>
              <w:right w:val="nil"/>
            </w:tcBorders>
            <w:shd w:val="clear" w:color="auto" w:fill="auto"/>
            <w:noWrap/>
            <w:vAlign w:val="bottom"/>
          </w:tcPr>
          <w:p w:rsidR="001A6859" w:rsidRPr="0013311A" w:rsidRDefault="001A6859" w:rsidP="00700224">
            <w:pPr>
              <w:spacing w:before="60" w:after="60"/>
              <w:ind w:left="284" w:hanging="284"/>
              <w:jc w:val="right"/>
              <w:rPr>
                <w:rFonts w:ascii="Arial" w:hAnsi="Arial" w:cs="Arial"/>
                <w:sz w:val="16"/>
                <w:szCs w:val="16"/>
                <w:lang w:eastAsia="en-NZ"/>
              </w:rPr>
            </w:pPr>
            <w:r w:rsidRPr="0013311A">
              <w:rPr>
                <w:rFonts w:ascii="Arial" w:hAnsi="Arial" w:cs="Arial"/>
                <w:sz w:val="16"/>
                <w:szCs w:val="16"/>
              </w:rPr>
              <w:t>3.02</w:t>
            </w:r>
          </w:p>
        </w:tc>
        <w:tc>
          <w:tcPr>
            <w:tcW w:w="1028" w:type="dxa"/>
            <w:tcBorders>
              <w:top w:val="nil"/>
              <w:left w:val="single" w:sz="8" w:space="0" w:color="auto"/>
              <w:bottom w:val="single" w:sz="8" w:space="0" w:color="auto"/>
              <w:right w:val="nil"/>
            </w:tcBorders>
            <w:shd w:val="clear" w:color="auto" w:fill="auto"/>
            <w:noWrap/>
            <w:vAlign w:val="bottom"/>
          </w:tcPr>
          <w:p w:rsidR="001A6859" w:rsidRPr="0013311A" w:rsidRDefault="001A6859" w:rsidP="00700224">
            <w:pPr>
              <w:spacing w:before="60" w:after="60"/>
              <w:ind w:left="284" w:hanging="284"/>
              <w:jc w:val="right"/>
              <w:rPr>
                <w:rFonts w:ascii="Arial" w:hAnsi="Arial" w:cs="Arial"/>
                <w:sz w:val="16"/>
                <w:szCs w:val="16"/>
                <w:lang w:eastAsia="en-NZ"/>
              </w:rPr>
            </w:pPr>
            <w:r w:rsidRPr="0013311A">
              <w:rPr>
                <w:rFonts w:ascii="Arial" w:hAnsi="Arial" w:cs="Arial"/>
                <w:sz w:val="16"/>
                <w:szCs w:val="16"/>
              </w:rPr>
              <w:t>3.02</w:t>
            </w:r>
          </w:p>
        </w:tc>
        <w:tc>
          <w:tcPr>
            <w:tcW w:w="983" w:type="dxa"/>
            <w:tcBorders>
              <w:top w:val="nil"/>
              <w:left w:val="single" w:sz="8" w:space="0" w:color="auto"/>
              <w:bottom w:val="single" w:sz="8" w:space="0" w:color="auto"/>
              <w:right w:val="single" w:sz="8" w:space="0" w:color="auto"/>
            </w:tcBorders>
            <w:shd w:val="clear" w:color="auto" w:fill="auto"/>
            <w:noWrap/>
            <w:vAlign w:val="bottom"/>
          </w:tcPr>
          <w:p w:rsidR="001A6859" w:rsidRPr="0013311A" w:rsidRDefault="001A6859" w:rsidP="00700224">
            <w:pPr>
              <w:spacing w:before="60" w:after="60"/>
              <w:ind w:left="284" w:hanging="284"/>
              <w:jc w:val="right"/>
              <w:rPr>
                <w:rFonts w:ascii="Arial" w:hAnsi="Arial" w:cs="Arial"/>
                <w:sz w:val="16"/>
                <w:szCs w:val="16"/>
                <w:lang w:eastAsia="en-NZ"/>
              </w:rPr>
            </w:pPr>
            <w:r w:rsidRPr="0013311A">
              <w:rPr>
                <w:rFonts w:ascii="Arial" w:hAnsi="Arial" w:cs="Arial"/>
                <w:sz w:val="16"/>
                <w:szCs w:val="16"/>
              </w:rPr>
              <w:t>0.00119</w:t>
            </w:r>
          </w:p>
        </w:tc>
        <w:tc>
          <w:tcPr>
            <w:tcW w:w="1107" w:type="dxa"/>
            <w:tcBorders>
              <w:top w:val="nil"/>
              <w:left w:val="nil"/>
              <w:bottom w:val="single" w:sz="8" w:space="0" w:color="auto"/>
              <w:right w:val="nil"/>
            </w:tcBorders>
            <w:shd w:val="clear" w:color="auto" w:fill="auto"/>
            <w:noWrap/>
            <w:vAlign w:val="bottom"/>
          </w:tcPr>
          <w:p w:rsidR="001A6859" w:rsidRPr="0013311A" w:rsidRDefault="001A6859" w:rsidP="00700224">
            <w:pPr>
              <w:spacing w:before="60" w:after="60"/>
              <w:ind w:left="284" w:hanging="284"/>
              <w:jc w:val="right"/>
              <w:rPr>
                <w:rFonts w:ascii="Arial" w:hAnsi="Arial" w:cs="Arial"/>
                <w:sz w:val="16"/>
                <w:szCs w:val="16"/>
                <w:lang w:eastAsia="en-NZ"/>
              </w:rPr>
            </w:pPr>
            <w:r w:rsidRPr="0013311A">
              <w:rPr>
                <w:rFonts w:ascii="Arial" w:hAnsi="Arial" w:cs="Arial"/>
                <w:sz w:val="16"/>
                <w:szCs w:val="16"/>
              </w:rPr>
              <w:t>0.00142</w:t>
            </w:r>
          </w:p>
        </w:tc>
        <w:tc>
          <w:tcPr>
            <w:tcW w:w="993" w:type="dxa"/>
            <w:tcBorders>
              <w:top w:val="nil"/>
              <w:left w:val="single" w:sz="8" w:space="0" w:color="auto"/>
              <w:bottom w:val="single" w:sz="8" w:space="0" w:color="auto"/>
              <w:right w:val="single" w:sz="8" w:space="0" w:color="auto"/>
            </w:tcBorders>
            <w:shd w:val="clear" w:color="auto" w:fill="auto"/>
            <w:noWrap/>
            <w:vAlign w:val="bottom"/>
          </w:tcPr>
          <w:p w:rsidR="001A6859" w:rsidRPr="0013311A" w:rsidRDefault="001A6859" w:rsidP="00700224">
            <w:pPr>
              <w:spacing w:before="60" w:after="60"/>
              <w:ind w:left="284" w:hanging="284"/>
              <w:jc w:val="right"/>
              <w:rPr>
                <w:rFonts w:ascii="Arial" w:hAnsi="Arial" w:cs="Arial"/>
                <w:sz w:val="16"/>
                <w:szCs w:val="16"/>
                <w:lang w:eastAsia="en-NZ"/>
              </w:rPr>
            </w:pPr>
            <w:r w:rsidRPr="0013311A">
              <w:rPr>
                <w:rFonts w:ascii="Arial" w:hAnsi="Arial" w:cs="Arial"/>
                <w:sz w:val="16"/>
                <w:szCs w:val="16"/>
              </w:rPr>
              <w:t>0.5%</w:t>
            </w:r>
          </w:p>
        </w:tc>
      </w:tr>
      <w:tr w:rsidR="001A6859" w:rsidRPr="00D01DD3" w:rsidTr="00EE0B09">
        <w:trPr>
          <w:trHeight w:val="249"/>
        </w:trPr>
        <w:tc>
          <w:tcPr>
            <w:tcW w:w="1527" w:type="dxa"/>
            <w:tcBorders>
              <w:top w:val="nil"/>
              <w:left w:val="single" w:sz="8" w:space="0" w:color="auto"/>
              <w:bottom w:val="single" w:sz="8" w:space="0" w:color="auto"/>
              <w:right w:val="single" w:sz="8" w:space="0" w:color="auto"/>
            </w:tcBorders>
            <w:shd w:val="clear" w:color="auto" w:fill="auto"/>
            <w:hideMark/>
          </w:tcPr>
          <w:p w:rsidR="001A6859" w:rsidRPr="0013311A" w:rsidRDefault="001A6859" w:rsidP="00700224">
            <w:pPr>
              <w:spacing w:before="60" w:after="60"/>
              <w:ind w:left="284" w:hanging="284"/>
              <w:jc w:val="left"/>
              <w:rPr>
                <w:rFonts w:ascii="Arial" w:hAnsi="Arial" w:cs="Arial"/>
                <w:sz w:val="16"/>
                <w:szCs w:val="16"/>
                <w:lang w:eastAsia="en-NZ"/>
              </w:rPr>
            </w:pPr>
            <w:r w:rsidRPr="0013311A">
              <w:rPr>
                <w:rFonts w:ascii="Arial" w:hAnsi="Arial" w:cs="Arial"/>
                <w:sz w:val="16"/>
                <w:szCs w:val="16"/>
                <w:lang w:eastAsia="en-NZ"/>
              </w:rPr>
              <w:t>Heavy fuel oil</w:t>
            </w:r>
          </w:p>
        </w:tc>
        <w:tc>
          <w:tcPr>
            <w:tcW w:w="1276" w:type="dxa"/>
            <w:tcBorders>
              <w:top w:val="nil"/>
              <w:left w:val="nil"/>
              <w:bottom w:val="single" w:sz="8" w:space="0" w:color="auto"/>
              <w:right w:val="single" w:sz="8" w:space="0" w:color="auto"/>
            </w:tcBorders>
            <w:shd w:val="clear" w:color="auto" w:fill="auto"/>
            <w:hideMark/>
          </w:tcPr>
          <w:p w:rsidR="001A6859" w:rsidRPr="0013311A" w:rsidRDefault="001A6859" w:rsidP="0032465A">
            <w:pPr>
              <w:spacing w:before="60" w:after="60"/>
              <w:ind w:left="284" w:hanging="284"/>
              <w:rPr>
                <w:rFonts w:ascii="Arial" w:hAnsi="Arial" w:cs="Arial"/>
                <w:sz w:val="16"/>
                <w:szCs w:val="16"/>
                <w:lang w:eastAsia="en-NZ"/>
              </w:rPr>
            </w:pPr>
            <w:r w:rsidRPr="0013311A">
              <w:rPr>
                <w:rFonts w:ascii="Arial" w:hAnsi="Arial" w:cs="Arial"/>
                <w:sz w:val="16"/>
                <w:szCs w:val="16"/>
                <w:lang w:eastAsia="en-NZ"/>
              </w:rPr>
              <w:t>Industry</w:t>
            </w:r>
          </w:p>
        </w:tc>
        <w:tc>
          <w:tcPr>
            <w:tcW w:w="567" w:type="dxa"/>
            <w:tcBorders>
              <w:top w:val="nil"/>
              <w:left w:val="nil"/>
              <w:bottom w:val="single" w:sz="8" w:space="0" w:color="auto"/>
              <w:right w:val="single" w:sz="8" w:space="0" w:color="auto"/>
            </w:tcBorders>
            <w:shd w:val="clear" w:color="auto" w:fill="auto"/>
            <w:hideMark/>
          </w:tcPr>
          <w:p w:rsidR="001A6859" w:rsidRPr="0013311A" w:rsidRDefault="001A6859" w:rsidP="0032465A">
            <w:pPr>
              <w:spacing w:before="60" w:after="60"/>
              <w:ind w:left="284" w:hanging="284"/>
              <w:rPr>
                <w:rFonts w:ascii="Arial" w:hAnsi="Arial" w:cs="Arial"/>
                <w:sz w:val="16"/>
                <w:szCs w:val="16"/>
                <w:lang w:eastAsia="en-NZ"/>
              </w:rPr>
            </w:pPr>
            <w:r w:rsidRPr="0013311A">
              <w:rPr>
                <w:rFonts w:ascii="Arial" w:hAnsi="Arial" w:cs="Arial"/>
                <w:sz w:val="16"/>
                <w:szCs w:val="16"/>
                <w:lang w:eastAsia="en-NZ"/>
              </w:rPr>
              <w:t>Litre</w:t>
            </w:r>
          </w:p>
        </w:tc>
        <w:tc>
          <w:tcPr>
            <w:tcW w:w="992" w:type="dxa"/>
            <w:tcBorders>
              <w:top w:val="nil"/>
              <w:left w:val="nil"/>
              <w:bottom w:val="single" w:sz="8" w:space="0" w:color="auto"/>
              <w:right w:val="nil"/>
            </w:tcBorders>
            <w:shd w:val="clear" w:color="auto" w:fill="auto"/>
            <w:noWrap/>
            <w:vAlign w:val="bottom"/>
          </w:tcPr>
          <w:p w:rsidR="001A6859" w:rsidRPr="0013311A" w:rsidRDefault="001A6859" w:rsidP="00700224">
            <w:pPr>
              <w:spacing w:before="60" w:after="60"/>
              <w:ind w:left="284" w:hanging="284"/>
              <w:jc w:val="right"/>
              <w:rPr>
                <w:rFonts w:ascii="Arial" w:hAnsi="Arial" w:cs="Arial"/>
                <w:sz w:val="16"/>
                <w:szCs w:val="16"/>
                <w:lang w:eastAsia="en-NZ"/>
              </w:rPr>
            </w:pPr>
            <w:r w:rsidRPr="0013311A">
              <w:rPr>
                <w:rFonts w:ascii="Arial" w:hAnsi="Arial" w:cs="Arial"/>
                <w:sz w:val="16"/>
                <w:szCs w:val="16"/>
              </w:rPr>
              <w:t>3.01</w:t>
            </w:r>
          </w:p>
        </w:tc>
        <w:tc>
          <w:tcPr>
            <w:tcW w:w="1028" w:type="dxa"/>
            <w:tcBorders>
              <w:top w:val="nil"/>
              <w:left w:val="single" w:sz="8" w:space="0" w:color="auto"/>
              <w:bottom w:val="single" w:sz="8" w:space="0" w:color="auto"/>
              <w:right w:val="nil"/>
            </w:tcBorders>
            <w:shd w:val="clear" w:color="auto" w:fill="auto"/>
            <w:noWrap/>
            <w:vAlign w:val="bottom"/>
          </w:tcPr>
          <w:p w:rsidR="001A6859" w:rsidRPr="0013311A" w:rsidRDefault="001A6859" w:rsidP="00700224">
            <w:pPr>
              <w:spacing w:before="60" w:after="60"/>
              <w:ind w:left="284" w:hanging="284"/>
              <w:jc w:val="right"/>
              <w:rPr>
                <w:rFonts w:ascii="Arial" w:hAnsi="Arial" w:cs="Arial"/>
                <w:sz w:val="16"/>
                <w:szCs w:val="16"/>
                <w:lang w:eastAsia="en-NZ"/>
              </w:rPr>
            </w:pPr>
            <w:r w:rsidRPr="0013311A">
              <w:rPr>
                <w:rFonts w:ascii="Arial" w:hAnsi="Arial" w:cs="Arial"/>
                <w:sz w:val="16"/>
                <w:szCs w:val="16"/>
              </w:rPr>
              <w:t>3.01</w:t>
            </w:r>
          </w:p>
        </w:tc>
        <w:tc>
          <w:tcPr>
            <w:tcW w:w="983" w:type="dxa"/>
            <w:tcBorders>
              <w:top w:val="nil"/>
              <w:left w:val="single" w:sz="8" w:space="0" w:color="auto"/>
              <w:bottom w:val="single" w:sz="8" w:space="0" w:color="auto"/>
              <w:right w:val="single" w:sz="8" w:space="0" w:color="auto"/>
            </w:tcBorders>
            <w:shd w:val="clear" w:color="auto" w:fill="auto"/>
            <w:noWrap/>
            <w:vAlign w:val="bottom"/>
          </w:tcPr>
          <w:p w:rsidR="001A6859" w:rsidRPr="0013311A" w:rsidRDefault="001A6859" w:rsidP="00700224">
            <w:pPr>
              <w:spacing w:before="60" w:after="60"/>
              <w:ind w:left="284" w:hanging="284"/>
              <w:jc w:val="right"/>
              <w:rPr>
                <w:rFonts w:ascii="Arial" w:hAnsi="Arial" w:cs="Arial"/>
                <w:sz w:val="16"/>
                <w:szCs w:val="16"/>
                <w:lang w:eastAsia="en-NZ"/>
              </w:rPr>
            </w:pPr>
            <w:r w:rsidRPr="0013311A">
              <w:rPr>
                <w:rFonts w:ascii="Arial" w:hAnsi="Arial" w:cs="Arial"/>
                <w:sz w:val="16"/>
                <w:szCs w:val="16"/>
              </w:rPr>
              <w:t>0.00291</w:t>
            </w:r>
          </w:p>
        </w:tc>
        <w:tc>
          <w:tcPr>
            <w:tcW w:w="1107" w:type="dxa"/>
            <w:tcBorders>
              <w:top w:val="nil"/>
              <w:left w:val="nil"/>
              <w:bottom w:val="single" w:sz="8" w:space="0" w:color="auto"/>
              <w:right w:val="nil"/>
            </w:tcBorders>
            <w:shd w:val="clear" w:color="auto" w:fill="auto"/>
            <w:noWrap/>
            <w:vAlign w:val="bottom"/>
          </w:tcPr>
          <w:p w:rsidR="001A6859" w:rsidRPr="0013311A" w:rsidRDefault="001A6859" w:rsidP="00700224">
            <w:pPr>
              <w:spacing w:before="60" w:after="60"/>
              <w:ind w:left="284" w:hanging="284"/>
              <w:jc w:val="right"/>
              <w:rPr>
                <w:rFonts w:ascii="Arial" w:hAnsi="Arial" w:cs="Arial"/>
                <w:sz w:val="16"/>
                <w:szCs w:val="16"/>
                <w:lang w:eastAsia="en-NZ"/>
              </w:rPr>
            </w:pPr>
            <w:r w:rsidRPr="0013311A">
              <w:rPr>
                <w:rFonts w:ascii="Arial" w:hAnsi="Arial" w:cs="Arial"/>
                <w:sz w:val="16"/>
                <w:szCs w:val="16"/>
              </w:rPr>
              <w:t>0.00347</w:t>
            </w:r>
          </w:p>
        </w:tc>
        <w:tc>
          <w:tcPr>
            <w:tcW w:w="993" w:type="dxa"/>
            <w:tcBorders>
              <w:top w:val="nil"/>
              <w:left w:val="single" w:sz="8" w:space="0" w:color="auto"/>
              <w:bottom w:val="single" w:sz="8" w:space="0" w:color="auto"/>
              <w:right w:val="single" w:sz="8" w:space="0" w:color="auto"/>
            </w:tcBorders>
            <w:shd w:val="clear" w:color="auto" w:fill="auto"/>
            <w:noWrap/>
            <w:vAlign w:val="bottom"/>
          </w:tcPr>
          <w:p w:rsidR="001A6859" w:rsidRPr="0013311A" w:rsidRDefault="001A6859" w:rsidP="00700224">
            <w:pPr>
              <w:spacing w:before="60" w:after="60"/>
              <w:ind w:left="284" w:hanging="284"/>
              <w:jc w:val="right"/>
              <w:rPr>
                <w:rFonts w:ascii="Arial" w:hAnsi="Arial" w:cs="Arial"/>
                <w:sz w:val="16"/>
                <w:szCs w:val="16"/>
                <w:lang w:eastAsia="en-NZ"/>
              </w:rPr>
            </w:pPr>
            <w:r w:rsidRPr="0013311A">
              <w:rPr>
                <w:rFonts w:ascii="Arial" w:hAnsi="Arial" w:cs="Arial"/>
                <w:sz w:val="16"/>
                <w:szCs w:val="16"/>
              </w:rPr>
              <w:t>0.5%</w:t>
            </w:r>
          </w:p>
        </w:tc>
      </w:tr>
      <w:tr w:rsidR="001A6859" w:rsidRPr="00D01DD3" w:rsidTr="00EE0B09">
        <w:trPr>
          <w:trHeight w:val="163"/>
        </w:trPr>
        <w:tc>
          <w:tcPr>
            <w:tcW w:w="1527" w:type="dxa"/>
            <w:tcBorders>
              <w:top w:val="nil"/>
              <w:left w:val="single" w:sz="8" w:space="0" w:color="auto"/>
              <w:bottom w:val="single" w:sz="8" w:space="0" w:color="auto"/>
              <w:right w:val="single" w:sz="8" w:space="0" w:color="auto"/>
            </w:tcBorders>
            <w:shd w:val="clear" w:color="auto" w:fill="auto"/>
            <w:hideMark/>
          </w:tcPr>
          <w:p w:rsidR="001A6859" w:rsidRPr="0013311A" w:rsidRDefault="001A6859" w:rsidP="00700224">
            <w:pPr>
              <w:spacing w:before="60" w:after="60"/>
              <w:ind w:left="284" w:hanging="284"/>
              <w:jc w:val="left"/>
              <w:rPr>
                <w:rFonts w:ascii="Arial" w:hAnsi="Arial" w:cs="Arial"/>
                <w:sz w:val="16"/>
                <w:szCs w:val="16"/>
                <w:lang w:eastAsia="en-NZ"/>
              </w:rPr>
            </w:pPr>
            <w:r w:rsidRPr="0013311A">
              <w:rPr>
                <w:rFonts w:ascii="Arial" w:hAnsi="Arial" w:cs="Arial"/>
                <w:sz w:val="16"/>
                <w:szCs w:val="16"/>
                <w:lang w:eastAsia="en-NZ"/>
              </w:rPr>
              <w:t>Light fuel oil</w:t>
            </w:r>
          </w:p>
        </w:tc>
        <w:tc>
          <w:tcPr>
            <w:tcW w:w="1276" w:type="dxa"/>
            <w:tcBorders>
              <w:top w:val="nil"/>
              <w:left w:val="nil"/>
              <w:bottom w:val="single" w:sz="8" w:space="0" w:color="auto"/>
              <w:right w:val="single" w:sz="8" w:space="0" w:color="auto"/>
            </w:tcBorders>
            <w:shd w:val="clear" w:color="auto" w:fill="auto"/>
            <w:hideMark/>
          </w:tcPr>
          <w:p w:rsidR="001A6859" w:rsidRPr="0013311A" w:rsidRDefault="001A6859" w:rsidP="0032465A">
            <w:pPr>
              <w:spacing w:before="60" w:after="60"/>
              <w:ind w:left="284" w:hanging="284"/>
              <w:rPr>
                <w:rFonts w:ascii="Arial" w:hAnsi="Arial" w:cs="Arial"/>
                <w:sz w:val="16"/>
                <w:szCs w:val="16"/>
                <w:lang w:eastAsia="en-NZ"/>
              </w:rPr>
            </w:pPr>
            <w:r w:rsidRPr="0013311A">
              <w:rPr>
                <w:rFonts w:ascii="Arial" w:hAnsi="Arial" w:cs="Arial"/>
                <w:sz w:val="16"/>
                <w:szCs w:val="16"/>
                <w:lang w:eastAsia="en-NZ"/>
              </w:rPr>
              <w:t>Industry</w:t>
            </w:r>
          </w:p>
        </w:tc>
        <w:tc>
          <w:tcPr>
            <w:tcW w:w="567" w:type="dxa"/>
            <w:tcBorders>
              <w:top w:val="nil"/>
              <w:left w:val="nil"/>
              <w:bottom w:val="single" w:sz="8" w:space="0" w:color="auto"/>
              <w:right w:val="single" w:sz="8" w:space="0" w:color="auto"/>
            </w:tcBorders>
            <w:shd w:val="clear" w:color="auto" w:fill="auto"/>
            <w:hideMark/>
          </w:tcPr>
          <w:p w:rsidR="001A6859" w:rsidRPr="0013311A" w:rsidRDefault="001A6859" w:rsidP="0032465A">
            <w:pPr>
              <w:spacing w:before="60" w:after="60"/>
              <w:ind w:left="284" w:hanging="284"/>
              <w:rPr>
                <w:rFonts w:ascii="Arial" w:hAnsi="Arial" w:cs="Arial"/>
                <w:sz w:val="16"/>
                <w:szCs w:val="16"/>
                <w:lang w:eastAsia="en-NZ"/>
              </w:rPr>
            </w:pPr>
            <w:r w:rsidRPr="0013311A">
              <w:rPr>
                <w:rFonts w:ascii="Arial" w:hAnsi="Arial" w:cs="Arial"/>
                <w:sz w:val="16"/>
                <w:szCs w:val="16"/>
                <w:lang w:eastAsia="en-NZ"/>
              </w:rPr>
              <w:t>Litre</w:t>
            </w:r>
          </w:p>
        </w:tc>
        <w:tc>
          <w:tcPr>
            <w:tcW w:w="992" w:type="dxa"/>
            <w:tcBorders>
              <w:top w:val="nil"/>
              <w:left w:val="nil"/>
              <w:bottom w:val="single" w:sz="8" w:space="0" w:color="auto"/>
              <w:right w:val="nil"/>
            </w:tcBorders>
            <w:shd w:val="clear" w:color="auto" w:fill="auto"/>
            <w:noWrap/>
            <w:vAlign w:val="bottom"/>
          </w:tcPr>
          <w:p w:rsidR="001A6859" w:rsidRPr="0013311A" w:rsidRDefault="001A6859" w:rsidP="00700224">
            <w:pPr>
              <w:spacing w:before="60" w:after="60"/>
              <w:ind w:left="284" w:hanging="284"/>
              <w:jc w:val="right"/>
              <w:rPr>
                <w:rFonts w:ascii="Arial" w:hAnsi="Arial" w:cs="Arial"/>
                <w:sz w:val="16"/>
                <w:szCs w:val="16"/>
                <w:lang w:eastAsia="en-NZ"/>
              </w:rPr>
            </w:pPr>
            <w:r w:rsidRPr="0013311A">
              <w:rPr>
                <w:rFonts w:ascii="Arial" w:hAnsi="Arial" w:cs="Arial"/>
                <w:sz w:val="16"/>
                <w:szCs w:val="16"/>
              </w:rPr>
              <w:t>2.95</w:t>
            </w:r>
          </w:p>
        </w:tc>
        <w:tc>
          <w:tcPr>
            <w:tcW w:w="1028" w:type="dxa"/>
            <w:tcBorders>
              <w:top w:val="nil"/>
              <w:left w:val="single" w:sz="8" w:space="0" w:color="auto"/>
              <w:bottom w:val="single" w:sz="8" w:space="0" w:color="auto"/>
              <w:right w:val="nil"/>
            </w:tcBorders>
            <w:shd w:val="clear" w:color="auto" w:fill="auto"/>
            <w:noWrap/>
            <w:vAlign w:val="bottom"/>
          </w:tcPr>
          <w:p w:rsidR="001A6859" w:rsidRPr="0013311A" w:rsidRDefault="001A6859" w:rsidP="00700224">
            <w:pPr>
              <w:spacing w:before="60" w:after="60"/>
              <w:ind w:left="284" w:hanging="284"/>
              <w:jc w:val="right"/>
              <w:rPr>
                <w:rFonts w:ascii="Arial" w:hAnsi="Arial" w:cs="Arial"/>
                <w:sz w:val="16"/>
                <w:szCs w:val="16"/>
                <w:lang w:eastAsia="en-NZ"/>
              </w:rPr>
            </w:pPr>
            <w:r w:rsidRPr="0013311A">
              <w:rPr>
                <w:rFonts w:ascii="Arial" w:hAnsi="Arial" w:cs="Arial"/>
                <w:sz w:val="16"/>
                <w:szCs w:val="16"/>
              </w:rPr>
              <w:t>2.95</w:t>
            </w:r>
          </w:p>
        </w:tc>
        <w:tc>
          <w:tcPr>
            <w:tcW w:w="983" w:type="dxa"/>
            <w:tcBorders>
              <w:top w:val="nil"/>
              <w:left w:val="single" w:sz="8" w:space="0" w:color="auto"/>
              <w:bottom w:val="single" w:sz="8" w:space="0" w:color="auto"/>
              <w:right w:val="single" w:sz="8" w:space="0" w:color="auto"/>
            </w:tcBorders>
            <w:shd w:val="clear" w:color="auto" w:fill="auto"/>
            <w:noWrap/>
            <w:vAlign w:val="bottom"/>
          </w:tcPr>
          <w:p w:rsidR="001A6859" w:rsidRPr="0013311A" w:rsidRDefault="001A6859" w:rsidP="00700224">
            <w:pPr>
              <w:spacing w:before="60" w:after="60"/>
              <w:ind w:left="284" w:hanging="284"/>
              <w:jc w:val="right"/>
              <w:rPr>
                <w:rFonts w:ascii="Arial" w:hAnsi="Arial" w:cs="Arial"/>
                <w:sz w:val="16"/>
                <w:szCs w:val="16"/>
                <w:lang w:eastAsia="en-NZ"/>
              </w:rPr>
            </w:pPr>
            <w:r w:rsidRPr="0013311A">
              <w:rPr>
                <w:rFonts w:ascii="Arial" w:hAnsi="Arial" w:cs="Arial"/>
                <w:sz w:val="16"/>
                <w:szCs w:val="16"/>
              </w:rPr>
              <w:t>0.00288</w:t>
            </w:r>
          </w:p>
        </w:tc>
        <w:tc>
          <w:tcPr>
            <w:tcW w:w="1107" w:type="dxa"/>
            <w:tcBorders>
              <w:top w:val="nil"/>
              <w:left w:val="nil"/>
              <w:bottom w:val="single" w:sz="8" w:space="0" w:color="auto"/>
              <w:right w:val="nil"/>
            </w:tcBorders>
            <w:shd w:val="clear" w:color="auto" w:fill="auto"/>
            <w:noWrap/>
            <w:vAlign w:val="bottom"/>
          </w:tcPr>
          <w:p w:rsidR="001A6859" w:rsidRPr="0013311A" w:rsidRDefault="001A6859" w:rsidP="00700224">
            <w:pPr>
              <w:spacing w:before="60" w:after="60"/>
              <w:ind w:left="284" w:hanging="284"/>
              <w:jc w:val="right"/>
              <w:rPr>
                <w:rFonts w:ascii="Arial" w:hAnsi="Arial" w:cs="Arial"/>
                <w:sz w:val="16"/>
                <w:szCs w:val="16"/>
                <w:lang w:eastAsia="en-NZ"/>
              </w:rPr>
            </w:pPr>
            <w:r w:rsidRPr="0013311A">
              <w:rPr>
                <w:rFonts w:ascii="Arial" w:hAnsi="Arial" w:cs="Arial"/>
                <w:sz w:val="16"/>
                <w:szCs w:val="16"/>
              </w:rPr>
              <w:t>0.00343</w:t>
            </w:r>
          </w:p>
        </w:tc>
        <w:tc>
          <w:tcPr>
            <w:tcW w:w="993" w:type="dxa"/>
            <w:tcBorders>
              <w:top w:val="nil"/>
              <w:left w:val="single" w:sz="8" w:space="0" w:color="auto"/>
              <w:bottom w:val="single" w:sz="8" w:space="0" w:color="auto"/>
              <w:right w:val="single" w:sz="8" w:space="0" w:color="auto"/>
            </w:tcBorders>
            <w:shd w:val="clear" w:color="auto" w:fill="auto"/>
            <w:noWrap/>
            <w:vAlign w:val="bottom"/>
          </w:tcPr>
          <w:p w:rsidR="001A6859" w:rsidRPr="0013311A" w:rsidRDefault="001A6859" w:rsidP="00700224">
            <w:pPr>
              <w:spacing w:before="60" w:after="60"/>
              <w:ind w:left="284" w:hanging="284"/>
              <w:jc w:val="right"/>
              <w:rPr>
                <w:rFonts w:ascii="Arial" w:hAnsi="Arial" w:cs="Arial"/>
                <w:sz w:val="16"/>
                <w:szCs w:val="16"/>
                <w:lang w:eastAsia="en-NZ"/>
              </w:rPr>
            </w:pPr>
            <w:r w:rsidRPr="0013311A">
              <w:rPr>
                <w:rFonts w:ascii="Arial" w:hAnsi="Arial" w:cs="Arial"/>
                <w:sz w:val="16"/>
                <w:szCs w:val="16"/>
              </w:rPr>
              <w:t>0.5%</w:t>
            </w:r>
          </w:p>
        </w:tc>
      </w:tr>
      <w:tr w:rsidR="001A6859" w:rsidRPr="00D01DD3" w:rsidTr="00EE0B09">
        <w:trPr>
          <w:trHeight w:val="163"/>
        </w:trPr>
        <w:tc>
          <w:tcPr>
            <w:tcW w:w="1527" w:type="dxa"/>
            <w:tcBorders>
              <w:top w:val="nil"/>
              <w:left w:val="single" w:sz="8" w:space="0" w:color="auto"/>
              <w:bottom w:val="single" w:sz="8" w:space="0" w:color="auto"/>
              <w:right w:val="single" w:sz="8" w:space="0" w:color="auto"/>
            </w:tcBorders>
            <w:shd w:val="clear" w:color="auto" w:fill="auto"/>
            <w:hideMark/>
          </w:tcPr>
          <w:p w:rsidR="001A6859" w:rsidRPr="0013311A" w:rsidRDefault="001A6859" w:rsidP="00700224">
            <w:pPr>
              <w:spacing w:before="60" w:after="60"/>
              <w:ind w:left="284" w:hanging="284"/>
              <w:jc w:val="left"/>
              <w:rPr>
                <w:rFonts w:ascii="Arial" w:hAnsi="Arial" w:cs="Arial"/>
                <w:sz w:val="16"/>
                <w:szCs w:val="16"/>
                <w:lang w:eastAsia="en-NZ"/>
              </w:rPr>
            </w:pPr>
            <w:r w:rsidRPr="0013311A">
              <w:rPr>
                <w:rFonts w:ascii="Arial" w:hAnsi="Arial" w:cs="Arial"/>
                <w:sz w:val="16"/>
                <w:szCs w:val="16"/>
                <w:lang w:eastAsia="en-NZ"/>
              </w:rPr>
              <w:t>Wood</w:t>
            </w:r>
          </w:p>
        </w:tc>
        <w:tc>
          <w:tcPr>
            <w:tcW w:w="1276" w:type="dxa"/>
            <w:tcBorders>
              <w:top w:val="nil"/>
              <w:left w:val="nil"/>
              <w:bottom w:val="single" w:sz="8" w:space="0" w:color="auto"/>
              <w:right w:val="single" w:sz="8" w:space="0" w:color="auto"/>
            </w:tcBorders>
            <w:shd w:val="clear" w:color="auto" w:fill="auto"/>
            <w:hideMark/>
          </w:tcPr>
          <w:p w:rsidR="001A6859" w:rsidRPr="0013311A" w:rsidRDefault="001A6859" w:rsidP="0032465A">
            <w:pPr>
              <w:spacing w:before="60" w:after="60"/>
              <w:ind w:left="284" w:hanging="284"/>
              <w:rPr>
                <w:rFonts w:ascii="Arial" w:hAnsi="Arial" w:cs="Arial"/>
                <w:sz w:val="16"/>
                <w:szCs w:val="16"/>
                <w:lang w:eastAsia="en-NZ"/>
              </w:rPr>
            </w:pPr>
            <w:r w:rsidRPr="0013311A">
              <w:rPr>
                <w:rFonts w:ascii="Arial" w:hAnsi="Arial" w:cs="Arial"/>
                <w:sz w:val="16"/>
                <w:szCs w:val="16"/>
                <w:lang w:eastAsia="en-NZ"/>
              </w:rPr>
              <w:t>Industry***</w:t>
            </w:r>
          </w:p>
        </w:tc>
        <w:tc>
          <w:tcPr>
            <w:tcW w:w="567" w:type="dxa"/>
            <w:tcBorders>
              <w:top w:val="nil"/>
              <w:left w:val="nil"/>
              <w:bottom w:val="single" w:sz="8" w:space="0" w:color="auto"/>
              <w:right w:val="single" w:sz="8" w:space="0" w:color="auto"/>
            </w:tcBorders>
            <w:shd w:val="clear" w:color="auto" w:fill="auto"/>
            <w:hideMark/>
          </w:tcPr>
          <w:p w:rsidR="001A6859" w:rsidRPr="0013311A" w:rsidRDefault="001A6859" w:rsidP="0032465A">
            <w:pPr>
              <w:spacing w:before="60" w:after="60"/>
              <w:ind w:left="284" w:hanging="284"/>
              <w:rPr>
                <w:rFonts w:ascii="Arial" w:hAnsi="Arial" w:cs="Arial"/>
                <w:sz w:val="16"/>
                <w:szCs w:val="16"/>
                <w:lang w:eastAsia="en-NZ"/>
              </w:rPr>
            </w:pPr>
            <w:r w:rsidRPr="0013311A">
              <w:rPr>
                <w:rFonts w:ascii="Arial" w:hAnsi="Arial" w:cs="Arial"/>
                <w:sz w:val="16"/>
                <w:szCs w:val="16"/>
                <w:lang w:eastAsia="en-NZ"/>
              </w:rPr>
              <w:t>Kg</w:t>
            </w:r>
          </w:p>
        </w:tc>
        <w:tc>
          <w:tcPr>
            <w:tcW w:w="992" w:type="dxa"/>
            <w:tcBorders>
              <w:top w:val="nil"/>
              <w:left w:val="nil"/>
              <w:bottom w:val="single" w:sz="8" w:space="0" w:color="auto"/>
              <w:right w:val="nil"/>
            </w:tcBorders>
            <w:shd w:val="clear" w:color="auto" w:fill="auto"/>
            <w:noWrap/>
            <w:vAlign w:val="bottom"/>
          </w:tcPr>
          <w:p w:rsidR="001A6859" w:rsidRPr="0013311A" w:rsidRDefault="001A6859" w:rsidP="00700224">
            <w:pPr>
              <w:spacing w:before="60" w:after="60"/>
              <w:ind w:left="284" w:hanging="284"/>
              <w:jc w:val="right"/>
              <w:rPr>
                <w:rFonts w:ascii="Arial" w:hAnsi="Arial" w:cs="Arial"/>
                <w:sz w:val="16"/>
                <w:szCs w:val="16"/>
                <w:lang w:eastAsia="en-NZ"/>
              </w:rPr>
            </w:pPr>
            <w:r w:rsidRPr="0013311A">
              <w:rPr>
                <w:rFonts w:ascii="Arial" w:hAnsi="Arial" w:cs="Arial"/>
                <w:sz w:val="16"/>
                <w:szCs w:val="16"/>
              </w:rPr>
              <w:t>0.0150</w:t>
            </w:r>
          </w:p>
        </w:tc>
        <w:tc>
          <w:tcPr>
            <w:tcW w:w="1028" w:type="dxa"/>
            <w:tcBorders>
              <w:top w:val="nil"/>
              <w:left w:val="single" w:sz="8" w:space="0" w:color="auto"/>
              <w:bottom w:val="single" w:sz="8" w:space="0" w:color="auto"/>
              <w:right w:val="nil"/>
            </w:tcBorders>
            <w:shd w:val="clear" w:color="auto" w:fill="auto"/>
            <w:noWrap/>
            <w:vAlign w:val="bottom"/>
          </w:tcPr>
          <w:p w:rsidR="001A6859" w:rsidRPr="0013311A" w:rsidRDefault="001A6859" w:rsidP="00700224">
            <w:pPr>
              <w:spacing w:before="60" w:after="60"/>
              <w:ind w:left="284" w:hanging="284"/>
              <w:jc w:val="right"/>
              <w:rPr>
                <w:rFonts w:ascii="Arial" w:hAnsi="Arial" w:cs="Arial"/>
                <w:sz w:val="16"/>
                <w:szCs w:val="16"/>
                <w:lang w:eastAsia="en-NZ"/>
              </w:rPr>
            </w:pPr>
            <w:r w:rsidRPr="0013311A">
              <w:rPr>
                <w:rFonts w:ascii="Arial" w:hAnsi="Arial" w:cs="Arial"/>
                <w:sz w:val="16"/>
                <w:szCs w:val="16"/>
              </w:rPr>
              <w:t>1.00</w:t>
            </w:r>
          </w:p>
        </w:tc>
        <w:tc>
          <w:tcPr>
            <w:tcW w:w="983" w:type="dxa"/>
            <w:tcBorders>
              <w:top w:val="nil"/>
              <w:left w:val="single" w:sz="8" w:space="0" w:color="auto"/>
              <w:bottom w:val="single" w:sz="8" w:space="0" w:color="auto"/>
              <w:right w:val="single" w:sz="8" w:space="0" w:color="auto"/>
            </w:tcBorders>
            <w:shd w:val="clear" w:color="auto" w:fill="auto"/>
            <w:noWrap/>
            <w:vAlign w:val="bottom"/>
          </w:tcPr>
          <w:p w:rsidR="001A6859" w:rsidRPr="0013311A" w:rsidRDefault="001A6859" w:rsidP="00700224">
            <w:pPr>
              <w:spacing w:before="60" w:after="60"/>
              <w:ind w:left="284" w:hanging="284"/>
              <w:jc w:val="right"/>
              <w:rPr>
                <w:rFonts w:ascii="Arial" w:hAnsi="Arial" w:cs="Arial"/>
                <w:sz w:val="16"/>
                <w:szCs w:val="16"/>
                <w:lang w:eastAsia="en-NZ"/>
              </w:rPr>
            </w:pPr>
            <w:r w:rsidRPr="0013311A">
              <w:rPr>
                <w:rFonts w:ascii="Arial" w:hAnsi="Arial" w:cs="Arial"/>
                <w:sz w:val="16"/>
                <w:szCs w:val="16"/>
              </w:rPr>
              <w:t>0.00578</w:t>
            </w:r>
          </w:p>
        </w:tc>
        <w:tc>
          <w:tcPr>
            <w:tcW w:w="1107" w:type="dxa"/>
            <w:tcBorders>
              <w:top w:val="nil"/>
              <w:left w:val="nil"/>
              <w:bottom w:val="single" w:sz="8" w:space="0" w:color="auto"/>
              <w:right w:val="nil"/>
            </w:tcBorders>
            <w:shd w:val="clear" w:color="auto" w:fill="auto"/>
            <w:noWrap/>
            <w:vAlign w:val="bottom"/>
          </w:tcPr>
          <w:p w:rsidR="001A6859" w:rsidRPr="0013311A" w:rsidRDefault="001A6859" w:rsidP="00700224">
            <w:pPr>
              <w:spacing w:before="60" w:after="60"/>
              <w:ind w:left="284" w:hanging="284"/>
              <w:jc w:val="right"/>
              <w:rPr>
                <w:rFonts w:ascii="Arial" w:hAnsi="Arial" w:cs="Arial"/>
                <w:sz w:val="16"/>
                <w:szCs w:val="16"/>
                <w:lang w:eastAsia="en-NZ"/>
              </w:rPr>
            </w:pPr>
            <w:r w:rsidRPr="0013311A">
              <w:rPr>
                <w:rFonts w:ascii="Arial" w:hAnsi="Arial" w:cs="Arial"/>
                <w:sz w:val="16"/>
                <w:szCs w:val="16"/>
              </w:rPr>
              <w:t>0.00918</w:t>
            </w:r>
          </w:p>
        </w:tc>
        <w:tc>
          <w:tcPr>
            <w:tcW w:w="993" w:type="dxa"/>
            <w:tcBorders>
              <w:top w:val="nil"/>
              <w:left w:val="single" w:sz="8" w:space="0" w:color="auto"/>
              <w:bottom w:val="single" w:sz="8" w:space="0" w:color="auto"/>
              <w:right w:val="single" w:sz="8" w:space="0" w:color="auto"/>
            </w:tcBorders>
            <w:shd w:val="clear" w:color="auto" w:fill="auto"/>
            <w:noWrap/>
            <w:vAlign w:val="bottom"/>
          </w:tcPr>
          <w:p w:rsidR="001A6859" w:rsidRPr="0013311A" w:rsidRDefault="001A6859" w:rsidP="00700224">
            <w:pPr>
              <w:spacing w:before="60" w:after="60"/>
              <w:ind w:left="284" w:hanging="284"/>
              <w:jc w:val="right"/>
              <w:rPr>
                <w:rFonts w:ascii="Arial" w:hAnsi="Arial" w:cs="Arial"/>
                <w:sz w:val="16"/>
                <w:szCs w:val="16"/>
                <w:lang w:eastAsia="en-NZ"/>
              </w:rPr>
            </w:pPr>
            <w:r w:rsidRPr="0013311A">
              <w:rPr>
                <w:rFonts w:ascii="Arial" w:hAnsi="Arial" w:cs="Arial"/>
                <w:sz w:val="16"/>
                <w:szCs w:val="16"/>
              </w:rPr>
              <w:t>36.3%</w:t>
            </w:r>
          </w:p>
        </w:tc>
      </w:tr>
      <w:tr w:rsidR="001A6859" w:rsidRPr="00D01DD3" w:rsidTr="00EE0B09">
        <w:trPr>
          <w:trHeight w:val="249"/>
        </w:trPr>
        <w:tc>
          <w:tcPr>
            <w:tcW w:w="1527" w:type="dxa"/>
            <w:tcBorders>
              <w:top w:val="nil"/>
              <w:left w:val="single" w:sz="8" w:space="0" w:color="auto"/>
              <w:bottom w:val="single" w:sz="8" w:space="0" w:color="auto"/>
              <w:right w:val="single" w:sz="8" w:space="0" w:color="auto"/>
            </w:tcBorders>
            <w:shd w:val="clear" w:color="auto" w:fill="auto"/>
            <w:hideMark/>
          </w:tcPr>
          <w:p w:rsidR="001A6859" w:rsidRPr="0013311A" w:rsidRDefault="001A6859" w:rsidP="00700224">
            <w:pPr>
              <w:spacing w:before="60" w:after="60"/>
              <w:ind w:left="284" w:hanging="284"/>
              <w:jc w:val="left"/>
              <w:rPr>
                <w:rFonts w:ascii="Arial" w:hAnsi="Arial" w:cs="Arial"/>
                <w:sz w:val="16"/>
                <w:szCs w:val="16"/>
                <w:lang w:eastAsia="en-NZ"/>
              </w:rPr>
            </w:pPr>
            <w:r w:rsidRPr="0013311A">
              <w:rPr>
                <w:rFonts w:ascii="Arial" w:hAnsi="Arial" w:cs="Arial"/>
                <w:sz w:val="16"/>
                <w:szCs w:val="16"/>
                <w:lang w:eastAsia="en-NZ"/>
              </w:rPr>
              <w:t>Wood</w:t>
            </w:r>
          </w:p>
        </w:tc>
        <w:tc>
          <w:tcPr>
            <w:tcW w:w="1276" w:type="dxa"/>
            <w:tcBorders>
              <w:top w:val="nil"/>
              <w:left w:val="nil"/>
              <w:bottom w:val="single" w:sz="8" w:space="0" w:color="auto"/>
              <w:right w:val="single" w:sz="8" w:space="0" w:color="auto"/>
            </w:tcBorders>
            <w:shd w:val="clear" w:color="auto" w:fill="auto"/>
            <w:hideMark/>
          </w:tcPr>
          <w:p w:rsidR="001A6859" w:rsidRPr="0013311A" w:rsidRDefault="001A6859" w:rsidP="0032465A">
            <w:pPr>
              <w:spacing w:before="60" w:after="60"/>
              <w:ind w:left="284" w:hanging="284"/>
              <w:rPr>
                <w:rFonts w:ascii="Arial" w:hAnsi="Arial" w:cs="Arial"/>
                <w:sz w:val="16"/>
                <w:szCs w:val="16"/>
                <w:lang w:eastAsia="en-NZ"/>
              </w:rPr>
            </w:pPr>
            <w:r w:rsidRPr="0013311A">
              <w:rPr>
                <w:rFonts w:ascii="Arial" w:hAnsi="Arial" w:cs="Arial"/>
                <w:sz w:val="16"/>
                <w:szCs w:val="16"/>
                <w:lang w:eastAsia="en-NZ"/>
              </w:rPr>
              <w:t>Fireplaces****</w:t>
            </w:r>
          </w:p>
        </w:tc>
        <w:tc>
          <w:tcPr>
            <w:tcW w:w="567" w:type="dxa"/>
            <w:tcBorders>
              <w:top w:val="nil"/>
              <w:left w:val="nil"/>
              <w:bottom w:val="single" w:sz="8" w:space="0" w:color="auto"/>
              <w:right w:val="single" w:sz="8" w:space="0" w:color="auto"/>
            </w:tcBorders>
            <w:shd w:val="clear" w:color="auto" w:fill="auto"/>
            <w:hideMark/>
          </w:tcPr>
          <w:p w:rsidR="001A6859" w:rsidRPr="0013311A" w:rsidRDefault="001A6859" w:rsidP="0032465A">
            <w:pPr>
              <w:spacing w:before="60" w:after="60"/>
              <w:ind w:left="284" w:hanging="284"/>
              <w:rPr>
                <w:rFonts w:ascii="Arial" w:hAnsi="Arial" w:cs="Arial"/>
                <w:sz w:val="16"/>
                <w:szCs w:val="16"/>
                <w:lang w:eastAsia="en-NZ"/>
              </w:rPr>
            </w:pPr>
            <w:r w:rsidRPr="0013311A">
              <w:rPr>
                <w:rFonts w:ascii="Arial" w:hAnsi="Arial" w:cs="Arial"/>
                <w:sz w:val="16"/>
                <w:szCs w:val="16"/>
                <w:lang w:eastAsia="en-NZ"/>
              </w:rPr>
              <w:t>Kg</w:t>
            </w:r>
          </w:p>
        </w:tc>
        <w:tc>
          <w:tcPr>
            <w:tcW w:w="992" w:type="dxa"/>
            <w:tcBorders>
              <w:top w:val="nil"/>
              <w:left w:val="nil"/>
              <w:bottom w:val="single" w:sz="8" w:space="0" w:color="auto"/>
              <w:right w:val="single" w:sz="8" w:space="0" w:color="auto"/>
            </w:tcBorders>
            <w:shd w:val="clear" w:color="auto" w:fill="auto"/>
            <w:noWrap/>
            <w:vAlign w:val="bottom"/>
          </w:tcPr>
          <w:p w:rsidR="001A6859" w:rsidRPr="0013311A" w:rsidRDefault="001A6859" w:rsidP="00700224">
            <w:pPr>
              <w:spacing w:before="60" w:after="60"/>
              <w:ind w:left="284" w:hanging="284"/>
              <w:jc w:val="right"/>
              <w:rPr>
                <w:rFonts w:ascii="Arial" w:hAnsi="Arial" w:cs="Arial"/>
                <w:sz w:val="16"/>
                <w:szCs w:val="16"/>
                <w:lang w:eastAsia="en-NZ"/>
              </w:rPr>
            </w:pPr>
            <w:r w:rsidRPr="0013311A">
              <w:rPr>
                <w:rFonts w:ascii="Arial" w:hAnsi="Arial" w:cs="Arial"/>
                <w:sz w:val="16"/>
                <w:szCs w:val="16"/>
              </w:rPr>
              <w:t>0.0670</w:t>
            </w:r>
          </w:p>
        </w:tc>
        <w:tc>
          <w:tcPr>
            <w:tcW w:w="1028" w:type="dxa"/>
            <w:tcBorders>
              <w:top w:val="nil"/>
              <w:left w:val="nil"/>
              <w:bottom w:val="single" w:sz="8" w:space="0" w:color="auto"/>
              <w:right w:val="nil"/>
            </w:tcBorders>
            <w:shd w:val="clear" w:color="auto" w:fill="auto"/>
            <w:noWrap/>
            <w:vAlign w:val="bottom"/>
          </w:tcPr>
          <w:p w:rsidR="001A6859" w:rsidRPr="0013311A" w:rsidRDefault="001A6859" w:rsidP="00700224">
            <w:pPr>
              <w:spacing w:before="60" w:after="60"/>
              <w:ind w:left="284" w:hanging="284"/>
              <w:jc w:val="right"/>
              <w:rPr>
                <w:rFonts w:ascii="Arial" w:hAnsi="Arial" w:cs="Arial"/>
                <w:sz w:val="16"/>
                <w:szCs w:val="16"/>
                <w:lang w:eastAsia="en-NZ"/>
              </w:rPr>
            </w:pPr>
            <w:r w:rsidRPr="0013311A">
              <w:rPr>
                <w:rFonts w:ascii="Arial" w:hAnsi="Arial" w:cs="Arial"/>
                <w:sz w:val="16"/>
                <w:szCs w:val="16"/>
              </w:rPr>
              <w:t>1.00</w:t>
            </w:r>
          </w:p>
        </w:tc>
        <w:tc>
          <w:tcPr>
            <w:tcW w:w="983" w:type="dxa"/>
            <w:tcBorders>
              <w:top w:val="nil"/>
              <w:left w:val="single" w:sz="8" w:space="0" w:color="auto"/>
              <w:bottom w:val="single" w:sz="8" w:space="0" w:color="auto"/>
              <w:right w:val="single" w:sz="8" w:space="0" w:color="auto"/>
            </w:tcBorders>
            <w:shd w:val="clear" w:color="auto" w:fill="auto"/>
            <w:noWrap/>
            <w:vAlign w:val="bottom"/>
          </w:tcPr>
          <w:p w:rsidR="001A6859" w:rsidRPr="0013311A" w:rsidRDefault="001A6859" w:rsidP="00700224">
            <w:pPr>
              <w:spacing w:before="60" w:after="60"/>
              <w:ind w:left="284" w:hanging="284"/>
              <w:jc w:val="right"/>
              <w:rPr>
                <w:rFonts w:ascii="Arial" w:hAnsi="Arial" w:cs="Arial"/>
                <w:sz w:val="16"/>
                <w:szCs w:val="16"/>
                <w:lang w:eastAsia="en-NZ"/>
              </w:rPr>
            </w:pPr>
            <w:r w:rsidRPr="0013311A">
              <w:rPr>
                <w:rFonts w:ascii="Arial" w:hAnsi="Arial" w:cs="Arial"/>
                <w:sz w:val="16"/>
                <w:szCs w:val="16"/>
              </w:rPr>
              <w:t>0.0578</w:t>
            </w:r>
          </w:p>
        </w:tc>
        <w:tc>
          <w:tcPr>
            <w:tcW w:w="1107" w:type="dxa"/>
            <w:tcBorders>
              <w:top w:val="nil"/>
              <w:left w:val="nil"/>
              <w:bottom w:val="single" w:sz="8" w:space="0" w:color="auto"/>
              <w:right w:val="nil"/>
            </w:tcBorders>
            <w:shd w:val="clear" w:color="auto" w:fill="auto"/>
            <w:noWrap/>
            <w:vAlign w:val="bottom"/>
          </w:tcPr>
          <w:p w:rsidR="001A6859" w:rsidRPr="0013311A" w:rsidRDefault="001A6859" w:rsidP="00700224">
            <w:pPr>
              <w:spacing w:before="60" w:after="60"/>
              <w:ind w:left="284" w:hanging="284"/>
              <w:jc w:val="right"/>
              <w:rPr>
                <w:rFonts w:ascii="Arial" w:hAnsi="Arial" w:cs="Arial"/>
                <w:sz w:val="16"/>
                <w:szCs w:val="16"/>
                <w:lang w:eastAsia="en-NZ"/>
              </w:rPr>
            </w:pPr>
            <w:r w:rsidRPr="0013311A">
              <w:rPr>
                <w:rFonts w:ascii="Arial" w:hAnsi="Arial" w:cs="Arial"/>
                <w:sz w:val="16"/>
                <w:szCs w:val="16"/>
              </w:rPr>
              <w:t>0.00918</w:t>
            </w:r>
          </w:p>
        </w:tc>
        <w:tc>
          <w:tcPr>
            <w:tcW w:w="993" w:type="dxa"/>
            <w:tcBorders>
              <w:top w:val="nil"/>
              <w:left w:val="single" w:sz="8" w:space="0" w:color="auto"/>
              <w:bottom w:val="single" w:sz="8" w:space="0" w:color="auto"/>
              <w:right w:val="single" w:sz="8" w:space="0" w:color="auto"/>
            </w:tcBorders>
            <w:shd w:val="clear" w:color="auto" w:fill="auto"/>
            <w:noWrap/>
            <w:vAlign w:val="bottom"/>
          </w:tcPr>
          <w:p w:rsidR="001A6859" w:rsidRPr="0013311A" w:rsidRDefault="001A6859" w:rsidP="00700224">
            <w:pPr>
              <w:spacing w:before="60" w:after="60"/>
              <w:ind w:left="284" w:hanging="284"/>
              <w:jc w:val="right"/>
              <w:rPr>
                <w:rFonts w:ascii="Arial" w:hAnsi="Arial" w:cs="Arial"/>
                <w:sz w:val="16"/>
                <w:szCs w:val="16"/>
                <w:lang w:eastAsia="en-NZ"/>
              </w:rPr>
            </w:pPr>
            <w:r w:rsidRPr="0013311A">
              <w:rPr>
                <w:rFonts w:ascii="Arial" w:hAnsi="Arial" w:cs="Arial"/>
                <w:sz w:val="16"/>
                <w:szCs w:val="16"/>
              </w:rPr>
              <w:t>43.7%</w:t>
            </w:r>
          </w:p>
        </w:tc>
      </w:tr>
    </w:tbl>
    <w:p w:rsidR="007356FD" w:rsidRDefault="007356FD" w:rsidP="002C26B3">
      <w:pPr>
        <w:pStyle w:val="Note"/>
        <w:ind w:left="0" w:firstLine="0"/>
      </w:pPr>
      <w:r w:rsidRPr="007356FD">
        <w:t xml:space="preserve">Rounding </w:t>
      </w:r>
      <w:r w:rsidR="00A91653">
        <w:t xml:space="preserve">is </w:t>
      </w:r>
      <w:r w:rsidRPr="007356FD">
        <w:t>to 3 significant figures.</w:t>
      </w:r>
    </w:p>
    <w:p w:rsidR="009E3385" w:rsidRPr="000F1882" w:rsidRDefault="009E3385" w:rsidP="004641DE">
      <w:pPr>
        <w:pStyle w:val="Note"/>
        <w:jc w:val="left"/>
      </w:pPr>
      <w:r w:rsidRPr="000F1882">
        <w:t>*</w:t>
      </w:r>
      <w:r w:rsidR="006D70C8">
        <w:tab/>
      </w:r>
      <w:r w:rsidR="007356FD" w:rsidRPr="007356FD">
        <w:t xml:space="preserve">The default coal </w:t>
      </w:r>
      <w:r w:rsidR="00ED58BA" w:rsidRPr="007356FD">
        <w:t>emission</w:t>
      </w:r>
      <w:r w:rsidR="007356FD" w:rsidRPr="007356FD">
        <w:t xml:space="preserve"> factor should be used if it is not possible to identify </w:t>
      </w:r>
      <w:r w:rsidR="006C259E">
        <w:t xml:space="preserve">the specific type of coal. </w:t>
      </w:r>
      <w:r w:rsidR="006C259E">
        <w:br/>
        <w:t>Note</w:t>
      </w:r>
      <w:r w:rsidR="00630869">
        <w:t>:</w:t>
      </w:r>
      <w:r w:rsidR="00E74775">
        <w:t xml:space="preserve"> </w:t>
      </w:r>
      <w:r w:rsidR="007356FD" w:rsidRPr="007356FD">
        <w:t>the default for industrial use of coal does not include coal used by the dairy industry as it is expected this sector would know the type of coal it consumes.</w:t>
      </w:r>
    </w:p>
    <w:p w:rsidR="009E3385" w:rsidRPr="000F1882" w:rsidRDefault="009E3385" w:rsidP="004641DE">
      <w:pPr>
        <w:pStyle w:val="Note"/>
        <w:jc w:val="left"/>
      </w:pPr>
      <w:r w:rsidRPr="000F1882">
        <w:t>**</w:t>
      </w:r>
      <w:r w:rsidR="006D70C8">
        <w:tab/>
      </w:r>
      <w:r w:rsidRPr="000F1882">
        <w:t>LPG-use data in litres can be converted to kilograms by multiplying by the specific gravity of 0.536 kg/l.</w:t>
      </w:r>
    </w:p>
    <w:p w:rsidR="009E3385" w:rsidRPr="000F1882" w:rsidRDefault="009E3385" w:rsidP="004641DE">
      <w:pPr>
        <w:pStyle w:val="Note"/>
        <w:jc w:val="left"/>
      </w:pPr>
      <w:r w:rsidRPr="000F1882">
        <w:t>***</w:t>
      </w:r>
      <w:r w:rsidR="006D70C8">
        <w:tab/>
      </w:r>
      <w:r w:rsidRPr="000F1882">
        <w:t>It is not expected that many commercial or industrial users will burn wood in fireplaces but this emission factor has been provided for completeness. It is the default residential emission factor.</w:t>
      </w:r>
    </w:p>
    <w:p w:rsidR="00EC1311" w:rsidRDefault="009E3385" w:rsidP="004641DE">
      <w:pPr>
        <w:pStyle w:val="Note"/>
        <w:jc w:val="left"/>
      </w:pPr>
      <w:r w:rsidRPr="000F1882">
        <w:t>****</w:t>
      </w:r>
      <w:r w:rsidR="006D70C8">
        <w:tab/>
      </w:r>
      <w:r w:rsidRPr="000F1882">
        <w:t xml:space="preserve">The </w:t>
      </w:r>
      <w:r w:rsidR="006D70C8">
        <w:t>t</w:t>
      </w:r>
      <w:r w:rsidRPr="000F1882">
        <w:t>otal CO</w:t>
      </w:r>
      <w:r w:rsidRPr="000F1882">
        <w:rPr>
          <w:szCs w:val="16"/>
          <w:vertAlign w:val="subscript"/>
        </w:rPr>
        <w:t>2</w:t>
      </w:r>
      <w:r w:rsidRPr="000F1882">
        <w:t>-e emission factor for wood only includes CH</w:t>
      </w:r>
      <w:r w:rsidRPr="000F1882">
        <w:rPr>
          <w:szCs w:val="18"/>
          <w:vertAlign w:val="subscript"/>
        </w:rPr>
        <w:t>4</w:t>
      </w:r>
      <w:r w:rsidRPr="000F1882">
        <w:t xml:space="preserve"> and N</w:t>
      </w:r>
      <w:r w:rsidRPr="000F1882">
        <w:rPr>
          <w:szCs w:val="18"/>
          <w:vertAlign w:val="subscript"/>
        </w:rPr>
        <w:t>2</w:t>
      </w:r>
      <w:r w:rsidRPr="000F1882">
        <w:t xml:space="preserve">O emissions. This is based on </w:t>
      </w:r>
      <w:r w:rsidRPr="000F1882">
        <w:rPr>
          <w:i/>
        </w:rPr>
        <w:t>ISO 14064-1</w:t>
      </w:r>
      <w:r w:rsidRPr="000F1882">
        <w:t xml:space="preserve"> and </w:t>
      </w:r>
      <w:r w:rsidRPr="000F1882">
        <w:rPr>
          <w:i/>
        </w:rPr>
        <w:t>The GHG Protocol</w:t>
      </w:r>
      <w:r w:rsidRPr="000F1882">
        <w:t xml:space="preserve"> reporting requirements for combustion of biomass as Scope 1 emissions. CO</w:t>
      </w:r>
      <w:r w:rsidRPr="000F1882">
        <w:rPr>
          <w:szCs w:val="18"/>
          <w:vertAlign w:val="subscript"/>
        </w:rPr>
        <w:t>2</w:t>
      </w:r>
      <w:r w:rsidRPr="000F1882">
        <w:t xml:space="preserve"> emissions from the combustion of biologically sequestered carbon are reported separately.</w:t>
      </w:r>
    </w:p>
    <w:p w:rsidR="009E3385" w:rsidRPr="000F1882" w:rsidRDefault="009E3385" w:rsidP="006D70C8"/>
    <w:p w:rsidR="009E3385" w:rsidRPr="000F1882" w:rsidRDefault="009E3385" w:rsidP="004641DE">
      <w:pPr>
        <w:pStyle w:val="Box"/>
        <w:spacing w:before="0"/>
        <w:jc w:val="left"/>
      </w:pPr>
      <w:r w:rsidRPr="000F1882">
        <w:t>Participants in the New Zealand Emissions Trading Scheme (NZ</w:t>
      </w:r>
      <w:r w:rsidR="002D215C">
        <w:t> </w:t>
      </w:r>
      <w:r w:rsidRPr="000F1882">
        <w:t>ETS) are required to use emission factors provided in the emissions trading regulations covering their particular sector, or in some cases may apply for Unique Emissions Factors.</w:t>
      </w:r>
      <w:r w:rsidR="00EC1311">
        <w:t xml:space="preserve"> </w:t>
      </w:r>
      <w:r w:rsidRPr="000F1882">
        <w:t>Emission factors used in the NZ</w:t>
      </w:r>
      <w:r w:rsidR="002D215C">
        <w:t> </w:t>
      </w:r>
      <w:r w:rsidRPr="000F1882">
        <w:t>ETS may differ from the factors provided in this guide.</w:t>
      </w:r>
      <w:r w:rsidR="00EC1311">
        <w:t xml:space="preserve"> </w:t>
      </w:r>
      <w:r w:rsidRPr="000F1882">
        <w:t>For example, emission factors for coal in this guide are given in terms of kilograms of coal used, because this is the most accessible information for most coal users.</w:t>
      </w:r>
      <w:r w:rsidR="00EC1311">
        <w:t xml:space="preserve"> </w:t>
      </w:r>
      <w:r w:rsidRPr="000F1882">
        <w:t>In the NZ ETS, coal is measured in terms of its energy content, and participants carry out analysis to ensure they know the heating value of the coal they</w:t>
      </w:r>
      <w:r w:rsidRPr="000F1882">
        <w:rPr>
          <w:i/>
          <w:iCs/>
          <w:color w:val="0000FF"/>
        </w:rPr>
        <w:t xml:space="preserve"> </w:t>
      </w:r>
      <w:r w:rsidRPr="000F1882">
        <w:t>use.</w:t>
      </w:r>
    </w:p>
    <w:p w:rsidR="009E3385" w:rsidRPr="000F1882" w:rsidRDefault="009E3385" w:rsidP="002D215C"/>
    <w:p w:rsidR="009E3385" w:rsidRPr="000F1882" w:rsidRDefault="009E3385" w:rsidP="002D215C">
      <w:pPr>
        <w:pStyle w:val="Heading4"/>
      </w:pPr>
      <w:r w:rsidRPr="000F1882">
        <w:t>Assumptions</w:t>
      </w:r>
    </w:p>
    <w:p w:rsidR="00EC1311" w:rsidRDefault="009E3385" w:rsidP="004641DE">
      <w:pPr>
        <w:jc w:val="left"/>
      </w:pPr>
      <w:r w:rsidRPr="00153272">
        <w:t>The kg CO</w:t>
      </w:r>
      <w:r w:rsidRPr="00153272">
        <w:rPr>
          <w:szCs w:val="22"/>
          <w:vertAlign w:val="subscript"/>
        </w:rPr>
        <w:t>2</w:t>
      </w:r>
      <w:r w:rsidRPr="00153272">
        <w:t xml:space="preserve">-e per activity unit emission factors supplied in </w:t>
      </w:r>
      <w:r w:rsidR="00EB1450">
        <w:t>t</w:t>
      </w:r>
      <w:r w:rsidR="002D215C">
        <w:t>able 1</w:t>
      </w:r>
      <w:r w:rsidRPr="00153272">
        <w:t xml:space="preserve"> are derived </w:t>
      </w:r>
      <w:r>
        <w:t xml:space="preserve">by </w:t>
      </w:r>
      <w:r w:rsidR="00177949">
        <w:t xml:space="preserve">the Ministry of Business, Innovation and Employment </w:t>
      </w:r>
      <w:r w:rsidRPr="00153272">
        <w:t xml:space="preserve">using calorific values. The calorific values used can be found in </w:t>
      </w:r>
      <w:r w:rsidR="004C076A">
        <w:t>a</w:t>
      </w:r>
      <w:r w:rsidR="004C076A" w:rsidRPr="00153272">
        <w:t xml:space="preserve">ppendix </w:t>
      </w:r>
      <w:r w:rsidR="00F50C46">
        <w:t>A</w:t>
      </w:r>
      <w:r w:rsidRPr="00153272">
        <w:t>.</w:t>
      </w:r>
    </w:p>
    <w:p w:rsidR="009E3385" w:rsidRPr="000F1882" w:rsidRDefault="009E3385" w:rsidP="004641DE">
      <w:pPr>
        <w:jc w:val="left"/>
      </w:pPr>
    </w:p>
    <w:p w:rsidR="00EC1311" w:rsidRDefault="009E3385" w:rsidP="004641DE">
      <w:pPr>
        <w:jc w:val="left"/>
        <w:rPr>
          <w:highlight w:val="yellow"/>
        </w:rPr>
      </w:pPr>
      <w:r w:rsidRPr="00812513">
        <w:t xml:space="preserve">All emission factors include the effect of relevant oxidation factors. Oxidation factors allow for the small proportion of carbon that remains </w:t>
      </w:r>
      <w:proofErr w:type="spellStart"/>
      <w:r w:rsidRPr="00812513">
        <w:t>unoxidised</w:t>
      </w:r>
      <w:proofErr w:type="spellEnd"/>
      <w:r w:rsidRPr="00812513">
        <w:t xml:space="preserve"> due to incomplete combustion, and remains as soot and ash.</w:t>
      </w:r>
    </w:p>
    <w:p w:rsidR="00EC1311" w:rsidRDefault="009E3385" w:rsidP="004641DE">
      <w:pPr>
        <w:jc w:val="left"/>
      </w:pPr>
      <w:r w:rsidRPr="000F1882">
        <w:t>The emission factors provided above account for the Scope 1 emissions resulting from fuel combustion. They are not full fuel cycle emission factors and do not incorporate Scope 3 emissions associated with the extraction, production and transport of the fuel.</w:t>
      </w:r>
    </w:p>
    <w:p w:rsidR="009E3385" w:rsidRDefault="009E3385" w:rsidP="004641DE">
      <w:pPr>
        <w:jc w:val="left"/>
      </w:pPr>
    </w:p>
    <w:p w:rsidR="00021C70" w:rsidRPr="000F1882" w:rsidRDefault="009E3385" w:rsidP="004641DE">
      <w:pPr>
        <w:jc w:val="left"/>
      </w:pPr>
      <w:r w:rsidRPr="000F1882">
        <w:t xml:space="preserve">The default coal emission factor is </w:t>
      </w:r>
      <w:r w:rsidR="00012C7F">
        <w:t>calculated by weighting the emission factors for the different ranks of coal (bituminous, sub-bituminous and lignite) by the</w:t>
      </w:r>
      <w:r w:rsidR="0097298A">
        <w:t xml:space="preserve"> amount of coal used for each sector (commercial, residential, industrial). </w:t>
      </w:r>
      <w:r w:rsidR="00021C70">
        <w:t>Emission factors for residential coal have been included for completeness.</w:t>
      </w:r>
    </w:p>
    <w:p w:rsidR="009E3385" w:rsidRPr="000F1882" w:rsidRDefault="009E3385" w:rsidP="002D215C">
      <w:pPr>
        <w:pStyle w:val="Heading4"/>
      </w:pPr>
      <w:bookmarkStart w:id="97" w:name="_Toc185407822"/>
      <w:r w:rsidRPr="000F1882">
        <w:lastRenderedPageBreak/>
        <w:t>Example calculation</w:t>
      </w:r>
      <w:bookmarkEnd w:id="97"/>
      <w:r w:rsidR="008D3392">
        <w:t>*</w:t>
      </w:r>
    </w:p>
    <w:p w:rsidR="009E3385" w:rsidRPr="000F1882" w:rsidRDefault="009E3385" w:rsidP="004641DE">
      <w:pPr>
        <w:jc w:val="left"/>
      </w:pPr>
      <w:r w:rsidRPr="000F1882">
        <w:t xml:space="preserve">A commercial organisation uses 1400 kg of LPG to heat one of its office buildings in </w:t>
      </w:r>
      <w:r w:rsidR="008A4A14">
        <w:t>201</w:t>
      </w:r>
      <w:r w:rsidR="00D03BE0">
        <w:t>6</w:t>
      </w:r>
      <w:r w:rsidRPr="000F1882">
        <w:t>.</w:t>
      </w:r>
    </w:p>
    <w:p w:rsidR="009E3385" w:rsidRPr="000F1882" w:rsidRDefault="009E3385" w:rsidP="004641DE">
      <w:pPr>
        <w:spacing w:before="120"/>
        <w:ind w:left="397"/>
        <w:jc w:val="left"/>
      </w:pPr>
      <w:r w:rsidRPr="000F1882">
        <w:t>CO</w:t>
      </w:r>
      <w:r w:rsidRPr="000F1882">
        <w:rPr>
          <w:vertAlign w:val="subscript"/>
        </w:rPr>
        <w:t>2</w:t>
      </w:r>
      <w:r w:rsidRPr="000F1882">
        <w:t xml:space="preserve"> emissions = 1400 </w:t>
      </w:r>
      <w:r w:rsidR="00C04704">
        <w:t>x</w:t>
      </w:r>
      <w:r w:rsidRPr="000F1882">
        <w:t xml:space="preserve"> </w:t>
      </w:r>
      <w:r w:rsidR="001D5E9B">
        <w:t>3.02</w:t>
      </w:r>
      <w:r w:rsidR="00340F5B" w:rsidRPr="000F1882">
        <w:t xml:space="preserve"> </w:t>
      </w:r>
      <w:r w:rsidRPr="000F1882">
        <w:t xml:space="preserve">= </w:t>
      </w:r>
      <w:r w:rsidR="002A3817">
        <w:t>4228</w:t>
      </w:r>
      <w:r w:rsidR="00840292" w:rsidRPr="000F1882">
        <w:t xml:space="preserve"> </w:t>
      </w:r>
      <w:r w:rsidRPr="000F1882">
        <w:t>kg CO</w:t>
      </w:r>
      <w:r w:rsidRPr="000F1882">
        <w:rPr>
          <w:vertAlign w:val="subscript"/>
        </w:rPr>
        <w:t>2</w:t>
      </w:r>
    </w:p>
    <w:p w:rsidR="009E3385" w:rsidRPr="000F1882" w:rsidRDefault="009E3385" w:rsidP="004641DE">
      <w:pPr>
        <w:ind w:left="397"/>
        <w:jc w:val="left"/>
      </w:pPr>
      <w:r w:rsidRPr="000F1882">
        <w:t>CH</w:t>
      </w:r>
      <w:r w:rsidRPr="000F1882">
        <w:rPr>
          <w:vertAlign w:val="subscript"/>
        </w:rPr>
        <w:t>4</w:t>
      </w:r>
      <w:r w:rsidRPr="000F1882">
        <w:t xml:space="preserve"> emissions = 1400 </w:t>
      </w:r>
      <w:r w:rsidR="00C04704">
        <w:t>x</w:t>
      </w:r>
      <w:r w:rsidRPr="000F1882">
        <w:t xml:space="preserve"> </w:t>
      </w:r>
      <w:r w:rsidR="006A58A1">
        <w:t>0.00594</w:t>
      </w:r>
      <w:r w:rsidRPr="000F1882">
        <w:t xml:space="preserve">= </w:t>
      </w:r>
      <w:r w:rsidR="003F17AF">
        <w:t>8.316</w:t>
      </w:r>
      <w:r w:rsidR="00EF7D61" w:rsidRPr="000F1882">
        <w:t xml:space="preserve"> </w:t>
      </w:r>
      <w:r w:rsidRPr="000F1882">
        <w:t>kg CO</w:t>
      </w:r>
      <w:r w:rsidRPr="000F1882">
        <w:rPr>
          <w:vertAlign w:val="subscript"/>
        </w:rPr>
        <w:t>2</w:t>
      </w:r>
      <w:r w:rsidRPr="000F1882">
        <w:t>-e</w:t>
      </w:r>
    </w:p>
    <w:p w:rsidR="009E3385" w:rsidRPr="000F1882" w:rsidRDefault="009E3385" w:rsidP="004641DE">
      <w:pPr>
        <w:ind w:left="397"/>
        <w:jc w:val="left"/>
      </w:pPr>
      <w:r w:rsidRPr="000F1882">
        <w:t>N</w:t>
      </w:r>
      <w:r w:rsidRPr="000F1882">
        <w:rPr>
          <w:vertAlign w:val="subscript"/>
        </w:rPr>
        <w:t>2</w:t>
      </w:r>
      <w:r w:rsidRPr="000F1882">
        <w:t xml:space="preserve">O emissions = 1400 </w:t>
      </w:r>
      <w:r w:rsidR="00C04704">
        <w:t>x</w:t>
      </w:r>
      <w:r w:rsidRPr="000F1882">
        <w:t xml:space="preserve"> </w:t>
      </w:r>
      <w:r w:rsidR="00BC6888" w:rsidRPr="00BC6888">
        <w:t>0.00</w:t>
      </w:r>
      <w:r w:rsidR="008C649F">
        <w:t>142</w:t>
      </w:r>
      <w:r w:rsidR="00340F5B" w:rsidRPr="000F1882">
        <w:t xml:space="preserve"> </w:t>
      </w:r>
      <w:r w:rsidRPr="000F1882">
        <w:t xml:space="preserve">= </w:t>
      </w:r>
      <w:r w:rsidR="003F17AF">
        <w:t>1.988</w:t>
      </w:r>
      <w:r w:rsidR="00294687" w:rsidRPr="000F1882">
        <w:t xml:space="preserve"> </w:t>
      </w:r>
      <w:r w:rsidRPr="000F1882">
        <w:t>kg CO</w:t>
      </w:r>
      <w:r w:rsidRPr="000F1882">
        <w:rPr>
          <w:vertAlign w:val="subscript"/>
        </w:rPr>
        <w:t>2</w:t>
      </w:r>
      <w:r w:rsidRPr="000F1882">
        <w:t>-e</w:t>
      </w:r>
    </w:p>
    <w:p w:rsidR="009E3385" w:rsidRDefault="009E3385" w:rsidP="004641DE">
      <w:pPr>
        <w:ind w:left="397"/>
        <w:jc w:val="left"/>
      </w:pPr>
      <w:r w:rsidRPr="000F1882">
        <w:t>Total CO</w:t>
      </w:r>
      <w:r w:rsidRPr="000F1882">
        <w:rPr>
          <w:vertAlign w:val="subscript"/>
        </w:rPr>
        <w:t>2</w:t>
      </w:r>
      <w:r w:rsidRPr="000F1882">
        <w:t xml:space="preserve">-e emissions = 1400 </w:t>
      </w:r>
      <w:r w:rsidR="00C04704">
        <w:t>x</w:t>
      </w:r>
      <w:r w:rsidR="00F449E9" w:rsidRPr="00F449E9">
        <w:t>3.0</w:t>
      </w:r>
      <w:r w:rsidR="001733CC">
        <w:t>3</w:t>
      </w:r>
      <w:r w:rsidRPr="000F1882">
        <w:t xml:space="preserve"> = </w:t>
      </w:r>
      <w:r w:rsidR="005962BA">
        <w:t>42</w:t>
      </w:r>
      <w:r w:rsidR="001733CC">
        <w:t>42</w:t>
      </w:r>
      <w:r w:rsidR="005962BA" w:rsidRPr="000F1882">
        <w:t xml:space="preserve"> </w:t>
      </w:r>
      <w:r w:rsidRPr="000F1882">
        <w:t>kg CO</w:t>
      </w:r>
      <w:r w:rsidRPr="000F1882">
        <w:rPr>
          <w:vertAlign w:val="subscript"/>
        </w:rPr>
        <w:t>2</w:t>
      </w:r>
      <w:r w:rsidRPr="000F1882">
        <w:t>-e</w:t>
      </w:r>
    </w:p>
    <w:p w:rsidR="008D3392" w:rsidRDefault="008D3392" w:rsidP="004641DE">
      <w:pPr>
        <w:ind w:left="397"/>
        <w:jc w:val="left"/>
      </w:pPr>
    </w:p>
    <w:p w:rsidR="006B45F7" w:rsidRPr="000F1882" w:rsidRDefault="008D3392" w:rsidP="004641DE">
      <w:pPr>
        <w:jc w:val="left"/>
      </w:pPr>
      <w:r>
        <w:t xml:space="preserve">* note numbers may not add due to rounding </w:t>
      </w:r>
    </w:p>
    <w:p w:rsidR="009E3385" w:rsidRPr="000F1882" w:rsidRDefault="009E3385" w:rsidP="006B45F7">
      <w:pPr>
        <w:pStyle w:val="Heading3"/>
      </w:pPr>
      <w:bookmarkStart w:id="98" w:name="_Toc185407824"/>
      <w:bookmarkStart w:id="99" w:name="_Toc185408066"/>
      <w:bookmarkStart w:id="100" w:name="_Toc209932989"/>
      <w:bookmarkStart w:id="101" w:name="_Toc210026926"/>
      <w:bookmarkStart w:id="102" w:name="_Toc289083962"/>
      <w:bookmarkStart w:id="103" w:name="_Toc469577172"/>
      <w:r w:rsidRPr="000F1882">
        <w:t>3.1.2</w:t>
      </w:r>
      <w:r w:rsidRPr="000F1882">
        <w:tab/>
        <w:t>Transport fuels where fuel use data is available</w:t>
      </w:r>
      <w:bookmarkEnd w:id="98"/>
      <w:bookmarkEnd w:id="99"/>
      <w:bookmarkEnd w:id="100"/>
      <w:bookmarkEnd w:id="101"/>
      <w:bookmarkEnd w:id="102"/>
      <w:bookmarkEnd w:id="103"/>
    </w:p>
    <w:p w:rsidR="009E3385" w:rsidRPr="000F1882" w:rsidRDefault="009E3385" w:rsidP="006B45F7">
      <w:r w:rsidRPr="000F1882">
        <w:t>Scope 1 emissions from transport occur from vehicles which are owned or controlled by the reporting organisation. The most accurate way to quantify the emissions associated with transport is by using information on the quantity of fuel used.</w:t>
      </w:r>
    </w:p>
    <w:p w:rsidR="009E3385" w:rsidRPr="000F1882" w:rsidRDefault="009E3385" w:rsidP="006B45F7"/>
    <w:p w:rsidR="009E3385" w:rsidRPr="000F1882" w:rsidRDefault="009E3385" w:rsidP="006B45F7">
      <w:r w:rsidRPr="00A504F7">
        <w:t xml:space="preserve">Emission factors for combustion of transport fuels are reported in </w:t>
      </w:r>
      <w:r w:rsidR="00EB1450">
        <w:t>t</w:t>
      </w:r>
      <w:r w:rsidR="006B45F7">
        <w:t>able 2</w:t>
      </w:r>
      <w:r w:rsidRPr="00A504F7">
        <w:t xml:space="preserve">. The emission factors are provided by the </w:t>
      </w:r>
      <w:r w:rsidR="003B309A">
        <w:t>Ministry of Business, Innovation and Employment</w:t>
      </w:r>
      <w:r w:rsidRPr="00A504F7">
        <w:t>.</w:t>
      </w:r>
    </w:p>
    <w:p w:rsidR="009E3385" w:rsidRPr="000F1882" w:rsidRDefault="009E3385" w:rsidP="006B45F7"/>
    <w:p w:rsidR="009E3385" w:rsidRPr="000F1882" w:rsidRDefault="009E3385" w:rsidP="006B45F7">
      <w:pPr>
        <w:pStyle w:val="Table"/>
      </w:pPr>
      <w:bookmarkStart w:id="104" w:name="_Ref185390158"/>
      <w:bookmarkStart w:id="105" w:name="_Toc210024146"/>
      <w:bookmarkStart w:id="106" w:name="_Toc289084083"/>
      <w:bookmarkStart w:id="107" w:name="_Toc469577141"/>
      <w:r w:rsidRPr="000F1882">
        <w:t xml:space="preserve">Table </w:t>
      </w:r>
      <w:r w:rsidR="006B45F7">
        <w:t>2</w:t>
      </w:r>
      <w:bookmarkEnd w:id="104"/>
      <w:r w:rsidRPr="000F1882">
        <w:t>:</w:t>
      </w:r>
      <w:r w:rsidRPr="000F1882">
        <w:tab/>
        <w:t>Fuel combustion emission factors (transport fuels)</w:t>
      </w:r>
      <w:bookmarkEnd w:id="105"/>
      <w:bookmarkEnd w:id="106"/>
      <w:bookmarkEnd w:id="107"/>
    </w:p>
    <w:tbl>
      <w:tblPr>
        <w:tblW w:w="8039" w:type="dxa"/>
        <w:tblInd w:w="-32" w:type="dxa"/>
        <w:tblLook w:val="04A0" w:firstRow="1" w:lastRow="0" w:firstColumn="1" w:lastColumn="0" w:noHBand="0" w:noVBand="1"/>
      </w:tblPr>
      <w:tblGrid>
        <w:gridCol w:w="1290"/>
        <w:gridCol w:w="960"/>
        <w:gridCol w:w="928"/>
        <w:gridCol w:w="928"/>
        <w:gridCol w:w="1518"/>
        <w:gridCol w:w="1318"/>
        <w:gridCol w:w="1097"/>
      </w:tblGrid>
      <w:tr w:rsidR="00756F8E" w:rsidRPr="00756F8E" w:rsidTr="004232D2">
        <w:trPr>
          <w:cantSplit/>
          <w:trHeight w:val="432"/>
        </w:trPr>
        <w:tc>
          <w:tcPr>
            <w:tcW w:w="1290"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bottom"/>
            <w:hideMark/>
          </w:tcPr>
          <w:p w:rsidR="00756F8E" w:rsidRPr="00756F8E" w:rsidRDefault="00756F8E" w:rsidP="0032465A">
            <w:pPr>
              <w:spacing w:before="60" w:after="60"/>
              <w:jc w:val="left"/>
              <w:rPr>
                <w:rFonts w:ascii="Arial" w:hAnsi="Arial" w:cs="Arial"/>
                <w:b/>
                <w:bCs/>
                <w:sz w:val="16"/>
                <w:szCs w:val="16"/>
                <w:lang w:eastAsia="en-NZ"/>
              </w:rPr>
            </w:pPr>
            <w:r w:rsidRPr="00756F8E">
              <w:rPr>
                <w:rFonts w:ascii="Arial" w:hAnsi="Arial" w:cs="Arial"/>
                <w:b/>
                <w:bCs/>
                <w:sz w:val="16"/>
                <w:szCs w:val="16"/>
                <w:lang w:eastAsia="en-NZ"/>
              </w:rPr>
              <w:t>Fuel</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bottom"/>
            <w:hideMark/>
          </w:tcPr>
          <w:p w:rsidR="00756F8E" w:rsidRPr="00756F8E" w:rsidRDefault="00756F8E" w:rsidP="0032465A">
            <w:pPr>
              <w:spacing w:before="60" w:after="60"/>
              <w:jc w:val="left"/>
              <w:rPr>
                <w:rFonts w:ascii="Arial" w:hAnsi="Arial" w:cs="Arial"/>
                <w:b/>
                <w:bCs/>
                <w:sz w:val="16"/>
                <w:szCs w:val="16"/>
                <w:lang w:eastAsia="en-NZ"/>
              </w:rPr>
            </w:pPr>
            <w:r w:rsidRPr="00756F8E">
              <w:rPr>
                <w:rFonts w:ascii="Arial" w:hAnsi="Arial" w:cs="Arial"/>
                <w:b/>
                <w:bCs/>
                <w:sz w:val="16"/>
                <w:szCs w:val="16"/>
                <w:lang w:eastAsia="en-NZ"/>
              </w:rPr>
              <w:t>Unit</w:t>
            </w:r>
          </w:p>
        </w:tc>
        <w:tc>
          <w:tcPr>
            <w:tcW w:w="928" w:type="dxa"/>
            <w:tcBorders>
              <w:top w:val="single" w:sz="8" w:space="0" w:color="auto"/>
              <w:left w:val="nil"/>
              <w:bottom w:val="nil"/>
              <w:right w:val="single" w:sz="8" w:space="0" w:color="auto"/>
            </w:tcBorders>
            <w:shd w:val="clear" w:color="000000" w:fill="D9D9D9"/>
            <w:vAlign w:val="bottom"/>
            <w:hideMark/>
          </w:tcPr>
          <w:p w:rsidR="00756F8E" w:rsidRPr="00756F8E" w:rsidRDefault="00756F8E" w:rsidP="0032465A">
            <w:pPr>
              <w:spacing w:before="60" w:after="60"/>
              <w:jc w:val="left"/>
              <w:rPr>
                <w:rFonts w:ascii="Arial" w:hAnsi="Arial" w:cs="Arial"/>
                <w:b/>
                <w:bCs/>
                <w:sz w:val="16"/>
                <w:szCs w:val="16"/>
                <w:lang w:eastAsia="en-NZ"/>
              </w:rPr>
            </w:pPr>
            <w:r w:rsidRPr="00756F8E">
              <w:rPr>
                <w:rFonts w:ascii="Arial" w:hAnsi="Arial" w:cs="Arial"/>
                <w:b/>
                <w:bCs/>
                <w:sz w:val="16"/>
                <w:szCs w:val="16"/>
                <w:lang w:eastAsia="en-NZ"/>
              </w:rPr>
              <w:t>Emission factor</w:t>
            </w:r>
          </w:p>
        </w:tc>
        <w:tc>
          <w:tcPr>
            <w:tcW w:w="928" w:type="dxa"/>
            <w:tcBorders>
              <w:top w:val="single" w:sz="8" w:space="0" w:color="auto"/>
              <w:left w:val="nil"/>
              <w:bottom w:val="nil"/>
              <w:right w:val="single" w:sz="8" w:space="0" w:color="auto"/>
            </w:tcBorders>
            <w:shd w:val="clear" w:color="000000" w:fill="D9D9D9"/>
            <w:vAlign w:val="bottom"/>
            <w:hideMark/>
          </w:tcPr>
          <w:p w:rsidR="00756F8E" w:rsidRPr="00756F8E" w:rsidRDefault="00756F8E" w:rsidP="0032465A">
            <w:pPr>
              <w:spacing w:before="60" w:after="60"/>
              <w:jc w:val="left"/>
              <w:rPr>
                <w:rFonts w:ascii="Arial" w:hAnsi="Arial" w:cs="Arial"/>
                <w:b/>
                <w:bCs/>
                <w:sz w:val="16"/>
                <w:szCs w:val="16"/>
                <w:lang w:eastAsia="en-NZ"/>
              </w:rPr>
            </w:pPr>
            <w:r w:rsidRPr="00756F8E">
              <w:rPr>
                <w:rFonts w:ascii="Arial" w:hAnsi="Arial" w:cs="Arial"/>
                <w:b/>
                <w:bCs/>
                <w:sz w:val="16"/>
                <w:szCs w:val="16"/>
                <w:lang w:eastAsia="en-NZ"/>
              </w:rPr>
              <w:t>Emission factor</w:t>
            </w:r>
          </w:p>
        </w:tc>
        <w:tc>
          <w:tcPr>
            <w:tcW w:w="1518" w:type="dxa"/>
            <w:tcBorders>
              <w:top w:val="single" w:sz="8" w:space="0" w:color="auto"/>
              <w:left w:val="nil"/>
              <w:bottom w:val="nil"/>
              <w:right w:val="single" w:sz="8" w:space="0" w:color="auto"/>
            </w:tcBorders>
            <w:shd w:val="clear" w:color="000000" w:fill="D9D9D9"/>
            <w:vAlign w:val="bottom"/>
            <w:hideMark/>
          </w:tcPr>
          <w:p w:rsidR="00756F8E" w:rsidRPr="00756F8E" w:rsidRDefault="00756F8E" w:rsidP="0032465A">
            <w:pPr>
              <w:spacing w:before="60" w:after="60"/>
              <w:jc w:val="left"/>
              <w:rPr>
                <w:rFonts w:ascii="Arial" w:hAnsi="Arial" w:cs="Arial"/>
                <w:b/>
                <w:bCs/>
                <w:sz w:val="16"/>
                <w:szCs w:val="16"/>
                <w:lang w:eastAsia="en-NZ"/>
              </w:rPr>
            </w:pPr>
            <w:r w:rsidRPr="00756F8E">
              <w:rPr>
                <w:rFonts w:ascii="Arial" w:hAnsi="Arial" w:cs="Arial"/>
                <w:b/>
                <w:bCs/>
                <w:sz w:val="16"/>
                <w:szCs w:val="16"/>
                <w:lang w:eastAsia="en-NZ"/>
              </w:rPr>
              <w:t>Emission factor</w:t>
            </w:r>
          </w:p>
        </w:tc>
        <w:tc>
          <w:tcPr>
            <w:tcW w:w="1318" w:type="dxa"/>
            <w:tcBorders>
              <w:top w:val="single" w:sz="8" w:space="0" w:color="auto"/>
              <w:left w:val="nil"/>
              <w:bottom w:val="nil"/>
              <w:right w:val="single" w:sz="8" w:space="0" w:color="auto"/>
            </w:tcBorders>
            <w:shd w:val="clear" w:color="000000" w:fill="D9D9D9"/>
            <w:vAlign w:val="bottom"/>
            <w:hideMark/>
          </w:tcPr>
          <w:p w:rsidR="00756F8E" w:rsidRPr="00756F8E" w:rsidRDefault="00756F8E" w:rsidP="0032465A">
            <w:pPr>
              <w:spacing w:before="60" w:after="60"/>
              <w:jc w:val="left"/>
              <w:rPr>
                <w:rFonts w:ascii="Arial" w:hAnsi="Arial" w:cs="Arial"/>
                <w:b/>
                <w:bCs/>
                <w:sz w:val="16"/>
                <w:szCs w:val="16"/>
                <w:lang w:eastAsia="en-NZ"/>
              </w:rPr>
            </w:pPr>
            <w:r w:rsidRPr="00756F8E">
              <w:rPr>
                <w:rFonts w:ascii="Arial" w:hAnsi="Arial" w:cs="Arial"/>
                <w:b/>
                <w:bCs/>
                <w:sz w:val="16"/>
                <w:szCs w:val="16"/>
                <w:lang w:eastAsia="en-NZ"/>
              </w:rPr>
              <w:t>Emission factor</w:t>
            </w:r>
          </w:p>
        </w:tc>
        <w:tc>
          <w:tcPr>
            <w:tcW w:w="1097" w:type="dxa"/>
            <w:tcBorders>
              <w:top w:val="single" w:sz="8" w:space="0" w:color="auto"/>
              <w:left w:val="nil"/>
              <w:bottom w:val="nil"/>
              <w:right w:val="single" w:sz="8" w:space="0" w:color="auto"/>
            </w:tcBorders>
            <w:shd w:val="clear" w:color="000000" w:fill="D9D9D9"/>
            <w:vAlign w:val="bottom"/>
            <w:hideMark/>
          </w:tcPr>
          <w:p w:rsidR="00756F8E" w:rsidRPr="00756F8E" w:rsidRDefault="0013311A" w:rsidP="0032465A">
            <w:pPr>
              <w:spacing w:before="60" w:after="60"/>
              <w:jc w:val="left"/>
              <w:rPr>
                <w:rFonts w:ascii="Arial" w:hAnsi="Arial" w:cs="Arial"/>
                <w:b/>
                <w:bCs/>
                <w:sz w:val="16"/>
                <w:szCs w:val="16"/>
                <w:lang w:eastAsia="en-NZ"/>
              </w:rPr>
            </w:pPr>
            <w:r>
              <w:rPr>
                <w:rFonts w:ascii="Arial" w:hAnsi="Arial" w:cs="Arial"/>
                <w:b/>
                <w:bCs/>
                <w:sz w:val="16"/>
                <w:szCs w:val="16"/>
                <w:lang w:eastAsia="en-NZ"/>
              </w:rPr>
              <w:t>Uncertainty t</w:t>
            </w:r>
            <w:r w:rsidR="00756F8E" w:rsidRPr="00756F8E">
              <w:rPr>
                <w:rFonts w:ascii="Arial" w:hAnsi="Arial" w:cs="Arial"/>
                <w:b/>
                <w:bCs/>
                <w:sz w:val="16"/>
                <w:szCs w:val="16"/>
                <w:lang w:eastAsia="en-NZ"/>
              </w:rPr>
              <w:t>otal CO</w:t>
            </w:r>
            <w:r w:rsidR="00756F8E" w:rsidRPr="00756F8E">
              <w:rPr>
                <w:rFonts w:ascii="Arial" w:hAnsi="Arial" w:cs="Arial"/>
                <w:b/>
                <w:bCs/>
                <w:sz w:val="16"/>
                <w:szCs w:val="16"/>
                <w:vertAlign w:val="subscript"/>
                <w:lang w:eastAsia="en-NZ"/>
              </w:rPr>
              <w:t>2</w:t>
            </w:r>
            <w:r w:rsidR="00756F8E" w:rsidRPr="00756F8E">
              <w:rPr>
                <w:rFonts w:ascii="Arial" w:hAnsi="Arial" w:cs="Arial"/>
                <w:b/>
                <w:bCs/>
                <w:sz w:val="16"/>
                <w:szCs w:val="16"/>
                <w:lang w:eastAsia="en-NZ"/>
              </w:rPr>
              <w:t>-e</w:t>
            </w:r>
          </w:p>
        </w:tc>
      </w:tr>
      <w:tr w:rsidR="00756F8E" w:rsidRPr="00756F8E" w:rsidTr="004232D2">
        <w:trPr>
          <w:trHeight w:val="264"/>
        </w:trPr>
        <w:tc>
          <w:tcPr>
            <w:tcW w:w="1290" w:type="dxa"/>
            <w:vMerge/>
            <w:tcBorders>
              <w:top w:val="single" w:sz="8" w:space="0" w:color="auto"/>
              <w:left w:val="single" w:sz="8" w:space="0" w:color="auto"/>
              <w:bottom w:val="single" w:sz="8" w:space="0" w:color="000000"/>
              <w:right w:val="single" w:sz="8" w:space="0" w:color="auto"/>
            </w:tcBorders>
            <w:vAlign w:val="center"/>
            <w:hideMark/>
          </w:tcPr>
          <w:p w:rsidR="00756F8E" w:rsidRPr="00756F8E" w:rsidRDefault="00756F8E" w:rsidP="0032465A">
            <w:pPr>
              <w:spacing w:before="60" w:after="60"/>
              <w:jc w:val="left"/>
              <w:rPr>
                <w:rFonts w:ascii="Arial" w:hAnsi="Arial" w:cs="Arial"/>
                <w:b/>
                <w:bCs/>
                <w:sz w:val="16"/>
                <w:szCs w:val="16"/>
                <w:lang w:eastAsia="en-NZ"/>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756F8E" w:rsidRPr="00756F8E" w:rsidRDefault="00756F8E" w:rsidP="0032465A">
            <w:pPr>
              <w:spacing w:before="60" w:after="60"/>
              <w:jc w:val="left"/>
              <w:rPr>
                <w:rFonts w:ascii="Arial" w:hAnsi="Arial" w:cs="Arial"/>
                <w:b/>
                <w:bCs/>
                <w:sz w:val="16"/>
                <w:szCs w:val="16"/>
                <w:lang w:eastAsia="en-NZ"/>
              </w:rPr>
            </w:pPr>
          </w:p>
        </w:tc>
        <w:tc>
          <w:tcPr>
            <w:tcW w:w="928" w:type="dxa"/>
            <w:tcBorders>
              <w:top w:val="nil"/>
              <w:left w:val="nil"/>
              <w:bottom w:val="nil"/>
              <w:right w:val="single" w:sz="8" w:space="0" w:color="auto"/>
            </w:tcBorders>
            <w:shd w:val="clear" w:color="000000" w:fill="D9D9D9"/>
            <w:vAlign w:val="bottom"/>
            <w:hideMark/>
          </w:tcPr>
          <w:p w:rsidR="00756F8E" w:rsidRPr="00756F8E" w:rsidRDefault="00756F8E" w:rsidP="0032465A">
            <w:pPr>
              <w:spacing w:before="60" w:after="60"/>
              <w:jc w:val="left"/>
              <w:rPr>
                <w:rFonts w:ascii="Arial" w:hAnsi="Arial" w:cs="Arial"/>
                <w:b/>
                <w:bCs/>
                <w:sz w:val="16"/>
                <w:szCs w:val="16"/>
                <w:lang w:eastAsia="en-NZ"/>
              </w:rPr>
            </w:pPr>
            <w:r w:rsidRPr="00756F8E">
              <w:rPr>
                <w:rFonts w:ascii="Arial" w:hAnsi="Arial" w:cs="Arial"/>
                <w:b/>
                <w:bCs/>
                <w:sz w:val="16"/>
                <w:szCs w:val="16"/>
                <w:lang w:eastAsia="en-NZ"/>
              </w:rPr>
              <w:t>total CO</w:t>
            </w:r>
            <w:r w:rsidRPr="00756F8E">
              <w:rPr>
                <w:rFonts w:ascii="Arial" w:hAnsi="Arial" w:cs="Arial"/>
                <w:b/>
                <w:bCs/>
                <w:sz w:val="16"/>
                <w:szCs w:val="16"/>
                <w:vertAlign w:val="subscript"/>
                <w:lang w:eastAsia="en-NZ"/>
              </w:rPr>
              <w:t>2</w:t>
            </w:r>
            <w:r w:rsidRPr="00756F8E">
              <w:rPr>
                <w:rFonts w:ascii="Arial" w:hAnsi="Arial" w:cs="Arial"/>
                <w:b/>
                <w:bCs/>
                <w:sz w:val="16"/>
                <w:szCs w:val="16"/>
                <w:lang w:eastAsia="en-NZ"/>
              </w:rPr>
              <w:t>-e</w:t>
            </w:r>
          </w:p>
        </w:tc>
        <w:tc>
          <w:tcPr>
            <w:tcW w:w="928" w:type="dxa"/>
            <w:tcBorders>
              <w:top w:val="nil"/>
              <w:left w:val="nil"/>
              <w:bottom w:val="nil"/>
              <w:right w:val="single" w:sz="8" w:space="0" w:color="auto"/>
            </w:tcBorders>
            <w:shd w:val="clear" w:color="000000" w:fill="D9D9D9"/>
            <w:vAlign w:val="bottom"/>
            <w:hideMark/>
          </w:tcPr>
          <w:p w:rsidR="00756F8E" w:rsidRPr="00756F8E" w:rsidRDefault="00756F8E" w:rsidP="0032465A">
            <w:pPr>
              <w:spacing w:before="60" w:after="60"/>
              <w:jc w:val="left"/>
              <w:rPr>
                <w:rFonts w:ascii="Arial" w:hAnsi="Arial" w:cs="Arial"/>
                <w:b/>
                <w:bCs/>
                <w:sz w:val="16"/>
                <w:szCs w:val="16"/>
                <w:lang w:eastAsia="en-NZ"/>
              </w:rPr>
            </w:pPr>
            <w:r w:rsidRPr="00756F8E">
              <w:rPr>
                <w:rFonts w:ascii="Arial" w:hAnsi="Arial" w:cs="Arial"/>
                <w:b/>
                <w:bCs/>
                <w:sz w:val="16"/>
                <w:szCs w:val="16"/>
                <w:lang w:eastAsia="en-NZ"/>
              </w:rPr>
              <w:t>CO</w:t>
            </w:r>
            <w:r w:rsidRPr="00756F8E">
              <w:rPr>
                <w:rFonts w:ascii="Arial" w:hAnsi="Arial" w:cs="Arial"/>
                <w:b/>
                <w:bCs/>
                <w:sz w:val="16"/>
                <w:szCs w:val="16"/>
                <w:vertAlign w:val="subscript"/>
                <w:lang w:eastAsia="en-NZ"/>
              </w:rPr>
              <w:t>2</w:t>
            </w:r>
          </w:p>
        </w:tc>
        <w:tc>
          <w:tcPr>
            <w:tcW w:w="1518" w:type="dxa"/>
            <w:tcBorders>
              <w:top w:val="nil"/>
              <w:left w:val="nil"/>
              <w:bottom w:val="nil"/>
              <w:right w:val="single" w:sz="8" w:space="0" w:color="auto"/>
            </w:tcBorders>
            <w:shd w:val="clear" w:color="000000" w:fill="D9D9D9"/>
            <w:vAlign w:val="bottom"/>
            <w:hideMark/>
          </w:tcPr>
          <w:p w:rsidR="00756F8E" w:rsidRPr="00756F8E" w:rsidRDefault="00756F8E" w:rsidP="0032465A">
            <w:pPr>
              <w:spacing w:before="60" w:after="60"/>
              <w:jc w:val="left"/>
              <w:rPr>
                <w:rFonts w:ascii="Arial" w:hAnsi="Arial" w:cs="Arial"/>
                <w:b/>
                <w:bCs/>
                <w:sz w:val="16"/>
                <w:szCs w:val="16"/>
                <w:lang w:eastAsia="en-NZ"/>
              </w:rPr>
            </w:pPr>
            <w:r w:rsidRPr="00756F8E">
              <w:rPr>
                <w:rFonts w:ascii="Arial" w:hAnsi="Arial" w:cs="Arial"/>
                <w:b/>
                <w:bCs/>
                <w:sz w:val="16"/>
                <w:szCs w:val="16"/>
                <w:lang w:eastAsia="en-NZ"/>
              </w:rPr>
              <w:t>CH</w:t>
            </w:r>
            <w:r w:rsidRPr="00756F8E">
              <w:rPr>
                <w:rFonts w:ascii="Arial" w:hAnsi="Arial" w:cs="Arial"/>
                <w:b/>
                <w:bCs/>
                <w:sz w:val="16"/>
                <w:szCs w:val="16"/>
                <w:vertAlign w:val="subscript"/>
                <w:lang w:eastAsia="en-NZ"/>
              </w:rPr>
              <w:t>4</w:t>
            </w:r>
          </w:p>
        </w:tc>
        <w:tc>
          <w:tcPr>
            <w:tcW w:w="1318" w:type="dxa"/>
            <w:tcBorders>
              <w:top w:val="nil"/>
              <w:left w:val="nil"/>
              <w:bottom w:val="nil"/>
              <w:right w:val="single" w:sz="8" w:space="0" w:color="auto"/>
            </w:tcBorders>
            <w:shd w:val="clear" w:color="000000" w:fill="D9D9D9"/>
            <w:vAlign w:val="bottom"/>
            <w:hideMark/>
          </w:tcPr>
          <w:p w:rsidR="00756F8E" w:rsidRPr="00756F8E" w:rsidRDefault="00756F8E" w:rsidP="0032465A">
            <w:pPr>
              <w:spacing w:before="60" w:after="60"/>
              <w:jc w:val="left"/>
              <w:rPr>
                <w:rFonts w:ascii="Arial" w:hAnsi="Arial" w:cs="Arial"/>
                <w:b/>
                <w:bCs/>
                <w:sz w:val="16"/>
                <w:szCs w:val="16"/>
                <w:lang w:eastAsia="en-NZ"/>
              </w:rPr>
            </w:pPr>
            <w:r w:rsidRPr="00756F8E">
              <w:rPr>
                <w:rFonts w:ascii="Arial" w:hAnsi="Arial" w:cs="Arial"/>
                <w:b/>
                <w:bCs/>
                <w:sz w:val="16"/>
                <w:szCs w:val="16"/>
                <w:lang w:eastAsia="en-NZ"/>
              </w:rPr>
              <w:t>N</w:t>
            </w:r>
            <w:r w:rsidRPr="00756F8E">
              <w:rPr>
                <w:rFonts w:ascii="Arial" w:hAnsi="Arial" w:cs="Arial"/>
                <w:b/>
                <w:bCs/>
                <w:sz w:val="16"/>
                <w:szCs w:val="16"/>
                <w:vertAlign w:val="subscript"/>
                <w:lang w:eastAsia="en-NZ"/>
              </w:rPr>
              <w:t>2</w:t>
            </w:r>
            <w:r w:rsidRPr="00756F8E">
              <w:rPr>
                <w:rFonts w:ascii="Arial" w:hAnsi="Arial" w:cs="Arial"/>
                <w:b/>
                <w:bCs/>
                <w:sz w:val="16"/>
                <w:szCs w:val="16"/>
                <w:lang w:eastAsia="en-NZ"/>
              </w:rPr>
              <w:t>O</w:t>
            </w:r>
          </w:p>
        </w:tc>
        <w:tc>
          <w:tcPr>
            <w:tcW w:w="1097" w:type="dxa"/>
            <w:tcBorders>
              <w:top w:val="nil"/>
              <w:left w:val="nil"/>
              <w:bottom w:val="nil"/>
              <w:right w:val="single" w:sz="8" w:space="0" w:color="auto"/>
            </w:tcBorders>
            <w:shd w:val="clear" w:color="000000" w:fill="D9D9D9"/>
            <w:vAlign w:val="bottom"/>
            <w:hideMark/>
          </w:tcPr>
          <w:p w:rsidR="00756F8E" w:rsidRPr="00756F8E" w:rsidRDefault="00756F8E" w:rsidP="0032465A">
            <w:pPr>
              <w:spacing w:before="60" w:after="60"/>
              <w:jc w:val="left"/>
              <w:rPr>
                <w:rFonts w:ascii="Arial" w:hAnsi="Arial" w:cs="Arial"/>
                <w:b/>
                <w:bCs/>
                <w:sz w:val="16"/>
                <w:szCs w:val="16"/>
                <w:lang w:eastAsia="en-NZ"/>
              </w:rPr>
            </w:pPr>
            <w:r w:rsidRPr="00756F8E">
              <w:rPr>
                <w:rFonts w:ascii="Arial" w:hAnsi="Arial" w:cs="Arial"/>
                <w:b/>
                <w:bCs/>
                <w:sz w:val="16"/>
                <w:szCs w:val="16"/>
                <w:lang w:eastAsia="en-NZ"/>
              </w:rPr>
              <w:t>(%)</w:t>
            </w:r>
          </w:p>
        </w:tc>
      </w:tr>
      <w:tr w:rsidR="00756F8E" w:rsidRPr="00756F8E" w:rsidTr="004232D2">
        <w:trPr>
          <w:trHeight w:val="456"/>
        </w:trPr>
        <w:tc>
          <w:tcPr>
            <w:tcW w:w="1290" w:type="dxa"/>
            <w:vMerge/>
            <w:tcBorders>
              <w:top w:val="single" w:sz="8" w:space="0" w:color="auto"/>
              <w:left w:val="single" w:sz="8" w:space="0" w:color="auto"/>
              <w:bottom w:val="single" w:sz="8" w:space="0" w:color="000000"/>
              <w:right w:val="single" w:sz="8" w:space="0" w:color="auto"/>
            </w:tcBorders>
            <w:vAlign w:val="center"/>
            <w:hideMark/>
          </w:tcPr>
          <w:p w:rsidR="00756F8E" w:rsidRPr="00756F8E" w:rsidRDefault="00756F8E" w:rsidP="0032465A">
            <w:pPr>
              <w:spacing w:before="60" w:after="60"/>
              <w:jc w:val="left"/>
              <w:rPr>
                <w:rFonts w:ascii="Arial" w:hAnsi="Arial" w:cs="Arial"/>
                <w:b/>
                <w:bCs/>
                <w:sz w:val="16"/>
                <w:szCs w:val="16"/>
                <w:lang w:eastAsia="en-NZ"/>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756F8E" w:rsidRPr="00756F8E" w:rsidRDefault="00756F8E" w:rsidP="0032465A">
            <w:pPr>
              <w:spacing w:before="60" w:after="60"/>
              <w:jc w:val="left"/>
              <w:rPr>
                <w:rFonts w:ascii="Arial" w:hAnsi="Arial" w:cs="Arial"/>
                <w:b/>
                <w:bCs/>
                <w:sz w:val="16"/>
                <w:szCs w:val="16"/>
                <w:lang w:eastAsia="en-NZ"/>
              </w:rPr>
            </w:pPr>
          </w:p>
        </w:tc>
        <w:tc>
          <w:tcPr>
            <w:tcW w:w="928" w:type="dxa"/>
            <w:tcBorders>
              <w:top w:val="nil"/>
              <w:left w:val="nil"/>
              <w:bottom w:val="single" w:sz="8" w:space="0" w:color="auto"/>
              <w:right w:val="single" w:sz="8" w:space="0" w:color="auto"/>
            </w:tcBorders>
            <w:shd w:val="clear" w:color="000000" w:fill="D9D9D9"/>
            <w:vAlign w:val="bottom"/>
            <w:hideMark/>
          </w:tcPr>
          <w:p w:rsidR="00756F8E" w:rsidRPr="00756F8E" w:rsidRDefault="00756F8E" w:rsidP="0032465A">
            <w:pPr>
              <w:spacing w:before="60" w:after="60"/>
              <w:jc w:val="left"/>
              <w:rPr>
                <w:rFonts w:ascii="Arial" w:hAnsi="Arial" w:cs="Arial"/>
                <w:b/>
                <w:bCs/>
                <w:sz w:val="16"/>
                <w:szCs w:val="16"/>
                <w:lang w:eastAsia="en-NZ"/>
              </w:rPr>
            </w:pPr>
            <w:r w:rsidRPr="00756F8E">
              <w:rPr>
                <w:rFonts w:ascii="Arial" w:hAnsi="Arial" w:cs="Arial"/>
                <w:b/>
                <w:bCs/>
                <w:sz w:val="16"/>
                <w:szCs w:val="16"/>
                <w:lang w:eastAsia="en-NZ"/>
              </w:rPr>
              <w:t>(kg CO</w:t>
            </w:r>
            <w:r w:rsidRPr="00756F8E">
              <w:rPr>
                <w:rFonts w:ascii="Arial" w:hAnsi="Arial" w:cs="Arial"/>
                <w:b/>
                <w:bCs/>
                <w:sz w:val="16"/>
                <w:szCs w:val="16"/>
                <w:vertAlign w:val="subscript"/>
                <w:lang w:eastAsia="en-NZ"/>
              </w:rPr>
              <w:t>2</w:t>
            </w:r>
            <w:r w:rsidRPr="00756F8E">
              <w:rPr>
                <w:rFonts w:ascii="Arial" w:hAnsi="Arial" w:cs="Arial"/>
                <w:b/>
                <w:bCs/>
                <w:sz w:val="16"/>
                <w:szCs w:val="16"/>
                <w:lang w:eastAsia="en-NZ"/>
              </w:rPr>
              <w:t>-e/unit)</w:t>
            </w:r>
          </w:p>
        </w:tc>
        <w:tc>
          <w:tcPr>
            <w:tcW w:w="928" w:type="dxa"/>
            <w:tcBorders>
              <w:top w:val="nil"/>
              <w:left w:val="nil"/>
              <w:bottom w:val="single" w:sz="8" w:space="0" w:color="auto"/>
              <w:right w:val="single" w:sz="8" w:space="0" w:color="auto"/>
            </w:tcBorders>
            <w:shd w:val="clear" w:color="000000" w:fill="D9D9D9"/>
            <w:vAlign w:val="bottom"/>
            <w:hideMark/>
          </w:tcPr>
          <w:p w:rsidR="00756F8E" w:rsidRPr="00756F8E" w:rsidRDefault="00756F8E" w:rsidP="0032465A">
            <w:pPr>
              <w:spacing w:before="60" w:after="60"/>
              <w:jc w:val="left"/>
              <w:rPr>
                <w:rFonts w:ascii="Arial" w:hAnsi="Arial" w:cs="Arial"/>
                <w:b/>
                <w:bCs/>
                <w:sz w:val="16"/>
                <w:szCs w:val="16"/>
                <w:lang w:eastAsia="en-NZ"/>
              </w:rPr>
            </w:pPr>
            <w:r w:rsidRPr="00756F8E">
              <w:rPr>
                <w:rFonts w:ascii="Arial" w:hAnsi="Arial" w:cs="Arial"/>
                <w:b/>
                <w:bCs/>
                <w:sz w:val="16"/>
                <w:szCs w:val="16"/>
                <w:lang w:eastAsia="en-NZ"/>
              </w:rPr>
              <w:t>(kg CO</w:t>
            </w:r>
            <w:r w:rsidRPr="00756F8E">
              <w:rPr>
                <w:rFonts w:ascii="Arial" w:hAnsi="Arial" w:cs="Arial"/>
                <w:b/>
                <w:bCs/>
                <w:sz w:val="16"/>
                <w:szCs w:val="16"/>
                <w:vertAlign w:val="subscript"/>
                <w:lang w:eastAsia="en-NZ"/>
              </w:rPr>
              <w:t>2</w:t>
            </w:r>
            <w:r w:rsidRPr="00756F8E">
              <w:rPr>
                <w:rFonts w:ascii="Arial" w:hAnsi="Arial" w:cs="Arial"/>
                <w:b/>
                <w:bCs/>
                <w:sz w:val="16"/>
                <w:szCs w:val="16"/>
                <w:lang w:eastAsia="en-NZ"/>
              </w:rPr>
              <w:t>/unit)</w:t>
            </w:r>
          </w:p>
        </w:tc>
        <w:tc>
          <w:tcPr>
            <w:tcW w:w="1518" w:type="dxa"/>
            <w:tcBorders>
              <w:top w:val="nil"/>
              <w:left w:val="nil"/>
              <w:bottom w:val="single" w:sz="8" w:space="0" w:color="auto"/>
              <w:right w:val="single" w:sz="8" w:space="0" w:color="auto"/>
            </w:tcBorders>
            <w:shd w:val="clear" w:color="000000" w:fill="D9D9D9"/>
            <w:vAlign w:val="bottom"/>
            <w:hideMark/>
          </w:tcPr>
          <w:p w:rsidR="00756F8E" w:rsidRPr="00756F8E" w:rsidRDefault="00756F8E" w:rsidP="0032465A">
            <w:pPr>
              <w:spacing w:before="60" w:after="60"/>
              <w:jc w:val="left"/>
              <w:rPr>
                <w:rFonts w:ascii="Arial" w:hAnsi="Arial" w:cs="Arial"/>
                <w:b/>
                <w:bCs/>
                <w:sz w:val="16"/>
                <w:szCs w:val="16"/>
                <w:lang w:eastAsia="en-NZ"/>
              </w:rPr>
            </w:pPr>
            <w:r w:rsidRPr="00756F8E">
              <w:rPr>
                <w:rFonts w:ascii="Arial" w:hAnsi="Arial" w:cs="Arial"/>
                <w:b/>
                <w:bCs/>
                <w:sz w:val="16"/>
                <w:szCs w:val="16"/>
                <w:lang w:eastAsia="en-NZ"/>
              </w:rPr>
              <w:t>(kg CO</w:t>
            </w:r>
            <w:r w:rsidRPr="00756F8E">
              <w:rPr>
                <w:rFonts w:ascii="Arial" w:hAnsi="Arial" w:cs="Arial"/>
                <w:b/>
                <w:bCs/>
                <w:sz w:val="16"/>
                <w:szCs w:val="16"/>
                <w:vertAlign w:val="subscript"/>
                <w:lang w:eastAsia="en-NZ"/>
              </w:rPr>
              <w:t>2</w:t>
            </w:r>
            <w:r w:rsidRPr="00756F8E">
              <w:rPr>
                <w:rFonts w:ascii="Arial" w:hAnsi="Arial" w:cs="Arial"/>
                <w:b/>
                <w:bCs/>
                <w:sz w:val="16"/>
                <w:szCs w:val="16"/>
                <w:lang w:eastAsia="en-NZ"/>
              </w:rPr>
              <w:t>-e/unit)</w:t>
            </w:r>
          </w:p>
        </w:tc>
        <w:tc>
          <w:tcPr>
            <w:tcW w:w="1318" w:type="dxa"/>
            <w:tcBorders>
              <w:top w:val="nil"/>
              <w:left w:val="nil"/>
              <w:bottom w:val="single" w:sz="8" w:space="0" w:color="auto"/>
              <w:right w:val="single" w:sz="8" w:space="0" w:color="auto"/>
            </w:tcBorders>
            <w:shd w:val="clear" w:color="000000" w:fill="D9D9D9"/>
            <w:vAlign w:val="bottom"/>
            <w:hideMark/>
          </w:tcPr>
          <w:p w:rsidR="00756F8E" w:rsidRPr="00756F8E" w:rsidRDefault="00756F8E" w:rsidP="0032465A">
            <w:pPr>
              <w:spacing w:before="60" w:after="60"/>
              <w:jc w:val="left"/>
              <w:rPr>
                <w:rFonts w:ascii="Arial" w:hAnsi="Arial" w:cs="Arial"/>
                <w:b/>
                <w:bCs/>
                <w:sz w:val="16"/>
                <w:szCs w:val="16"/>
                <w:lang w:eastAsia="en-NZ"/>
              </w:rPr>
            </w:pPr>
            <w:r w:rsidRPr="00756F8E">
              <w:rPr>
                <w:rFonts w:ascii="Arial" w:hAnsi="Arial" w:cs="Arial"/>
                <w:b/>
                <w:bCs/>
                <w:sz w:val="16"/>
                <w:szCs w:val="16"/>
                <w:lang w:eastAsia="en-NZ"/>
              </w:rPr>
              <w:t>(kg CO</w:t>
            </w:r>
            <w:r w:rsidRPr="00756F8E">
              <w:rPr>
                <w:rFonts w:ascii="Arial" w:hAnsi="Arial" w:cs="Arial"/>
                <w:b/>
                <w:bCs/>
                <w:sz w:val="16"/>
                <w:szCs w:val="16"/>
                <w:vertAlign w:val="subscript"/>
                <w:lang w:eastAsia="en-NZ"/>
              </w:rPr>
              <w:t>2</w:t>
            </w:r>
            <w:r w:rsidRPr="00756F8E">
              <w:rPr>
                <w:rFonts w:ascii="Arial" w:hAnsi="Arial" w:cs="Arial"/>
                <w:b/>
                <w:bCs/>
                <w:sz w:val="16"/>
                <w:szCs w:val="16"/>
                <w:lang w:eastAsia="en-NZ"/>
              </w:rPr>
              <w:t>-e/unit)</w:t>
            </w:r>
          </w:p>
        </w:tc>
        <w:tc>
          <w:tcPr>
            <w:tcW w:w="1097" w:type="dxa"/>
            <w:tcBorders>
              <w:top w:val="nil"/>
              <w:left w:val="nil"/>
              <w:bottom w:val="single" w:sz="8" w:space="0" w:color="auto"/>
              <w:right w:val="single" w:sz="8" w:space="0" w:color="auto"/>
            </w:tcBorders>
            <w:shd w:val="clear" w:color="000000" w:fill="D9D9D9"/>
            <w:vAlign w:val="bottom"/>
            <w:hideMark/>
          </w:tcPr>
          <w:p w:rsidR="00756F8E" w:rsidRPr="00756F8E" w:rsidRDefault="00756F8E" w:rsidP="0032465A">
            <w:pPr>
              <w:spacing w:before="60" w:after="60"/>
              <w:jc w:val="left"/>
              <w:rPr>
                <w:rFonts w:ascii="Arial" w:hAnsi="Arial" w:cs="Arial"/>
                <w:sz w:val="20"/>
                <w:lang w:eastAsia="en-NZ"/>
              </w:rPr>
            </w:pPr>
            <w:r w:rsidRPr="00756F8E">
              <w:rPr>
                <w:rFonts w:ascii="Arial" w:hAnsi="Arial" w:cs="Arial"/>
                <w:sz w:val="20"/>
                <w:lang w:eastAsia="en-NZ"/>
              </w:rPr>
              <w:t> </w:t>
            </w:r>
          </w:p>
        </w:tc>
      </w:tr>
      <w:tr w:rsidR="004232D2" w:rsidRPr="004232D2" w:rsidTr="004232D2">
        <w:trPr>
          <w:cantSplit/>
          <w:trHeight w:val="276"/>
        </w:trPr>
        <w:tc>
          <w:tcPr>
            <w:tcW w:w="1290" w:type="dxa"/>
            <w:tcBorders>
              <w:top w:val="nil"/>
              <w:left w:val="single" w:sz="8" w:space="0" w:color="auto"/>
              <w:bottom w:val="single" w:sz="8" w:space="0" w:color="auto"/>
              <w:right w:val="single" w:sz="8" w:space="0" w:color="auto"/>
            </w:tcBorders>
            <w:shd w:val="clear" w:color="auto" w:fill="auto"/>
            <w:noWrap/>
            <w:hideMark/>
          </w:tcPr>
          <w:p w:rsidR="004232D2" w:rsidRPr="00756F8E" w:rsidRDefault="004232D2" w:rsidP="0032465A">
            <w:pPr>
              <w:spacing w:before="60" w:after="60"/>
              <w:jc w:val="left"/>
              <w:rPr>
                <w:rFonts w:ascii="Arial" w:hAnsi="Arial" w:cs="Arial"/>
                <w:sz w:val="16"/>
                <w:szCs w:val="16"/>
                <w:lang w:eastAsia="en-NZ"/>
              </w:rPr>
            </w:pPr>
            <w:r w:rsidRPr="00756F8E">
              <w:rPr>
                <w:rFonts w:ascii="Arial" w:hAnsi="Arial" w:cs="Arial"/>
                <w:sz w:val="16"/>
                <w:szCs w:val="16"/>
                <w:lang w:eastAsia="en-NZ"/>
              </w:rPr>
              <w:t>Regular petrol</w:t>
            </w:r>
          </w:p>
        </w:tc>
        <w:tc>
          <w:tcPr>
            <w:tcW w:w="960" w:type="dxa"/>
            <w:tcBorders>
              <w:top w:val="nil"/>
              <w:left w:val="nil"/>
              <w:bottom w:val="single" w:sz="8" w:space="0" w:color="auto"/>
              <w:right w:val="single" w:sz="8" w:space="0" w:color="auto"/>
            </w:tcBorders>
            <w:shd w:val="clear" w:color="auto" w:fill="auto"/>
            <w:noWrap/>
            <w:hideMark/>
          </w:tcPr>
          <w:p w:rsidR="004232D2" w:rsidRPr="00756F8E" w:rsidRDefault="004232D2" w:rsidP="0032465A">
            <w:pPr>
              <w:spacing w:before="60" w:after="60"/>
              <w:jc w:val="left"/>
              <w:rPr>
                <w:rFonts w:ascii="Arial" w:hAnsi="Arial" w:cs="Arial"/>
                <w:sz w:val="16"/>
                <w:szCs w:val="16"/>
                <w:lang w:eastAsia="en-NZ"/>
              </w:rPr>
            </w:pPr>
            <w:r w:rsidRPr="00756F8E">
              <w:rPr>
                <w:rFonts w:ascii="Arial" w:hAnsi="Arial" w:cs="Arial"/>
                <w:sz w:val="16"/>
                <w:szCs w:val="16"/>
                <w:lang w:eastAsia="en-NZ"/>
              </w:rPr>
              <w:t>litre</w:t>
            </w:r>
          </w:p>
        </w:tc>
        <w:tc>
          <w:tcPr>
            <w:tcW w:w="928" w:type="dxa"/>
            <w:tcBorders>
              <w:top w:val="nil"/>
              <w:left w:val="nil"/>
              <w:bottom w:val="single" w:sz="8" w:space="0" w:color="auto"/>
              <w:right w:val="single" w:sz="8" w:space="0" w:color="auto"/>
            </w:tcBorders>
            <w:shd w:val="clear" w:color="auto" w:fill="auto"/>
            <w:noWrap/>
            <w:vAlign w:val="bottom"/>
          </w:tcPr>
          <w:p w:rsidR="004232D2" w:rsidRPr="004232D2" w:rsidRDefault="004232D2" w:rsidP="0032465A">
            <w:pPr>
              <w:spacing w:before="60" w:after="60"/>
              <w:jc w:val="right"/>
              <w:rPr>
                <w:rFonts w:ascii="Arial" w:hAnsi="Arial" w:cs="Arial"/>
                <w:sz w:val="16"/>
                <w:szCs w:val="16"/>
                <w:lang w:eastAsia="en-NZ"/>
              </w:rPr>
            </w:pPr>
            <w:r w:rsidRPr="00FF0509">
              <w:rPr>
                <w:rFonts w:ascii="Arial" w:hAnsi="Arial" w:cs="Arial"/>
                <w:sz w:val="16"/>
                <w:szCs w:val="16"/>
              </w:rPr>
              <w:t>2.44</w:t>
            </w:r>
          </w:p>
        </w:tc>
        <w:tc>
          <w:tcPr>
            <w:tcW w:w="928" w:type="dxa"/>
            <w:tcBorders>
              <w:top w:val="nil"/>
              <w:left w:val="nil"/>
              <w:bottom w:val="single" w:sz="8" w:space="0" w:color="auto"/>
              <w:right w:val="single" w:sz="8" w:space="0" w:color="auto"/>
            </w:tcBorders>
            <w:shd w:val="clear" w:color="auto" w:fill="auto"/>
            <w:noWrap/>
            <w:vAlign w:val="bottom"/>
          </w:tcPr>
          <w:p w:rsidR="004232D2" w:rsidRPr="004232D2" w:rsidRDefault="004232D2" w:rsidP="0032465A">
            <w:pPr>
              <w:spacing w:before="60" w:after="60"/>
              <w:jc w:val="right"/>
              <w:rPr>
                <w:rFonts w:ascii="Arial" w:hAnsi="Arial" w:cs="Arial"/>
                <w:sz w:val="16"/>
                <w:szCs w:val="16"/>
                <w:lang w:eastAsia="en-NZ"/>
              </w:rPr>
            </w:pPr>
            <w:r w:rsidRPr="00FF0509">
              <w:rPr>
                <w:rFonts w:ascii="Arial" w:hAnsi="Arial" w:cs="Arial"/>
                <w:sz w:val="16"/>
                <w:szCs w:val="16"/>
              </w:rPr>
              <w:t>2.33</w:t>
            </w:r>
          </w:p>
        </w:tc>
        <w:tc>
          <w:tcPr>
            <w:tcW w:w="1518" w:type="dxa"/>
            <w:tcBorders>
              <w:top w:val="nil"/>
              <w:left w:val="nil"/>
              <w:bottom w:val="single" w:sz="8" w:space="0" w:color="auto"/>
              <w:right w:val="single" w:sz="8" w:space="0" w:color="auto"/>
            </w:tcBorders>
            <w:shd w:val="clear" w:color="auto" w:fill="auto"/>
            <w:noWrap/>
            <w:vAlign w:val="bottom"/>
          </w:tcPr>
          <w:p w:rsidR="004232D2" w:rsidRPr="004232D2" w:rsidRDefault="004232D2" w:rsidP="0032465A">
            <w:pPr>
              <w:spacing w:before="60" w:after="60"/>
              <w:jc w:val="right"/>
              <w:rPr>
                <w:rFonts w:ascii="Arial" w:hAnsi="Arial" w:cs="Arial"/>
                <w:sz w:val="16"/>
                <w:szCs w:val="16"/>
                <w:lang w:eastAsia="en-NZ"/>
              </w:rPr>
            </w:pPr>
            <w:r w:rsidRPr="00FF0509">
              <w:rPr>
                <w:rFonts w:ascii="Arial" w:hAnsi="Arial" w:cs="Arial"/>
                <w:sz w:val="16"/>
                <w:szCs w:val="16"/>
              </w:rPr>
              <w:t>0.0246</w:t>
            </w:r>
          </w:p>
        </w:tc>
        <w:tc>
          <w:tcPr>
            <w:tcW w:w="1318" w:type="dxa"/>
            <w:tcBorders>
              <w:top w:val="nil"/>
              <w:left w:val="nil"/>
              <w:bottom w:val="single" w:sz="8" w:space="0" w:color="auto"/>
              <w:right w:val="single" w:sz="8" w:space="0" w:color="auto"/>
            </w:tcBorders>
            <w:shd w:val="clear" w:color="auto" w:fill="auto"/>
            <w:noWrap/>
            <w:vAlign w:val="bottom"/>
          </w:tcPr>
          <w:p w:rsidR="004232D2" w:rsidRPr="004232D2" w:rsidRDefault="004232D2" w:rsidP="0032465A">
            <w:pPr>
              <w:spacing w:before="60" w:after="60"/>
              <w:jc w:val="right"/>
              <w:rPr>
                <w:rFonts w:ascii="Arial" w:hAnsi="Arial" w:cs="Arial"/>
                <w:sz w:val="16"/>
                <w:szCs w:val="16"/>
                <w:lang w:eastAsia="en-NZ"/>
              </w:rPr>
            </w:pPr>
            <w:r w:rsidRPr="00FF0509">
              <w:rPr>
                <w:rFonts w:ascii="Arial" w:hAnsi="Arial" w:cs="Arial"/>
                <w:sz w:val="16"/>
                <w:szCs w:val="16"/>
              </w:rPr>
              <w:t>0.0793</w:t>
            </w:r>
          </w:p>
        </w:tc>
        <w:tc>
          <w:tcPr>
            <w:tcW w:w="1097" w:type="dxa"/>
            <w:tcBorders>
              <w:top w:val="nil"/>
              <w:left w:val="nil"/>
              <w:bottom w:val="single" w:sz="8" w:space="0" w:color="auto"/>
              <w:right w:val="single" w:sz="8" w:space="0" w:color="auto"/>
            </w:tcBorders>
            <w:shd w:val="clear" w:color="auto" w:fill="auto"/>
            <w:noWrap/>
            <w:vAlign w:val="bottom"/>
          </w:tcPr>
          <w:p w:rsidR="004232D2" w:rsidRPr="004232D2" w:rsidRDefault="006C259E" w:rsidP="0032465A">
            <w:pPr>
              <w:spacing w:before="60" w:after="60"/>
              <w:jc w:val="right"/>
              <w:rPr>
                <w:rFonts w:ascii="Arial" w:hAnsi="Arial" w:cs="Arial"/>
                <w:sz w:val="16"/>
                <w:szCs w:val="16"/>
                <w:lang w:eastAsia="en-NZ"/>
              </w:rPr>
            </w:pPr>
            <w:r>
              <w:rPr>
                <w:rFonts w:ascii="Arial" w:hAnsi="Arial" w:cs="Arial"/>
                <w:sz w:val="16"/>
                <w:szCs w:val="16"/>
              </w:rPr>
              <w:t>1.8</w:t>
            </w:r>
          </w:p>
        </w:tc>
      </w:tr>
      <w:tr w:rsidR="004232D2" w:rsidRPr="004232D2" w:rsidTr="004232D2">
        <w:trPr>
          <w:cantSplit/>
          <w:trHeight w:val="276"/>
        </w:trPr>
        <w:tc>
          <w:tcPr>
            <w:tcW w:w="1290" w:type="dxa"/>
            <w:tcBorders>
              <w:top w:val="nil"/>
              <w:left w:val="single" w:sz="8" w:space="0" w:color="auto"/>
              <w:bottom w:val="single" w:sz="8" w:space="0" w:color="auto"/>
              <w:right w:val="single" w:sz="8" w:space="0" w:color="auto"/>
            </w:tcBorders>
            <w:shd w:val="clear" w:color="auto" w:fill="auto"/>
            <w:noWrap/>
            <w:hideMark/>
          </w:tcPr>
          <w:p w:rsidR="004232D2" w:rsidRPr="00756F8E" w:rsidRDefault="004232D2" w:rsidP="0032465A">
            <w:pPr>
              <w:spacing w:before="60" w:after="60"/>
              <w:jc w:val="left"/>
              <w:rPr>
                <w:rFonts w:ascii="Arial" w:hAnsi="Arial" w:cs="Arial"/>
                <w:sz w:val="16"/>
                <w:szCs w:val="16"/>
                <w:lang w:eastAsia="en-NZ"/>
              </w:rPr>
            </w:pPr>
            <w:r w:rsidRPr="00756F8E">
              <w:rPr>
                <w:rFonts w:ascii="Arial" w:hAnsi="Arial" w:cs="Arial"/>
                <w:sz w:val="16"/>
                <w:szCs w:val="16"/>
                <w:lang w:eastAsia="en-NZ"/>
              </w:rPr>
              <w:t>Premium petrol</w:t>
            </w:r>
          </w:p>
        </w:tc>
        <w:tc>
          <w:tcPr>
            <w:tcW w:w="960" w:type="dxa"/>
            <w:tcBorders>
              <w:top w:val="nil"/>
              <w:left w:val="nil"/>
              <w:bottom w:val="single" w:sz="8" w:space="0" w:color="auto"/>
              <w:right w:val="single" w:sz="8" w:space="0" w:color="auto"/>
            </w:tcBorders>
            <w:shd w:val="clear" w:color="auto" w:fill="auto"/>
            <w:noWrap/>
            <w:hideMark/>
          </w:tcPr>
          <w:p w:rsidR="004232D2" w:rsidRPr="00756F8E" w:rsidRDefault="004232D2" w:rsidP="0032465A">
            <w:pPr>
              <w:spacing w:before="60" w:after="60"/>
              <w:jc w:val="left"/>
              <w:rPr>
                <w:rFonts w:ascii="Arial" w:hAnsi="Arial" w:cs="Arial"/>
                <w:sz w:val="16"/>
                <w:szCs w:val="16"/>
                <w:lang w:eastAsia="en-NZ"/>
              </w:rPr>
            </w:pPr>
            <w:r w:rsidRPr="00756F8E">
              <w:rPr>
                <w:rFonts w:ascii="Arial" w:hAnsi="Arial" w:cs="Arial"/>
                <w:sz w:val="16"/>
                <w:szCs w:val="16"/>
                <w:lang w:eastAsia="en-NZ"/>
              </w:rPr>
              <w:t>litre</w:t>
            </w:r>
          </w:p>
        </w:tc>
        <w:tc>
          <w:tcPr>
            <w:tcW w:w="928" w:type="dxa"/>
            <w:tcBorders>
              <w:top w:val="nil"/>
              <w:left w:val="nil"/>
              <w:bottom w:val="single" w:sz="8" w:space="0" w:color="auto"/>
              <w:right w:val="single" w:sz="8" w:space="0" w:color="auto"/>
            </w:tcBorders>
            <w:shd w:val="clear" w:color="auto" w:fill="auto"/>
            <w:noWrap/>
            <w:vAlign w:val="bottom"/>
          </w:tcPr>
          <w:p w:rsidR="004232D2" w:rsidRPr="004232D2" w:rsidRDefault="004232D2" w:rsidP="0032465A">
            <w:pPr>
              <w:spacing w:before="60" w:after="60"/>
              <w:jc w:val="right"/>
              <w:rPr>
                <w:rFonts w:ascii="Arial" w:hAnsi="Arial" w:cs="Arial"/>
                <w:sz w:val="16"/>
                <w:szCs w:val="16"/>
                <w:lang w:eastAsia="en-NZ"/>
              </w:rPr>
            </w:pPr>
            <w:r w:rsidRPr="00FF0509">
              <w:rPr>
                <w:rFonts w:ascii="Arial" w:hAnsi="Arial" w:cs="Arial"/>
                <w:sz w:val="16"/>
                <w:szCs w:val="16"/>
              </w:rPr>
              <w:t>2.43</w:t>
            </w:r>
          </w:p>
        </w:tc>
        <w:tc>
          <w:tcPr>
            <w:tcW w:w="928" w:type="dxa"/>
            <w:tcBorders>
              <w:top w:val="nil"/>
              <w:left w:val="nil"/>
              <w:bottom w:val="single" w:sz="8" w:space="0" w:color="auto"/>
              <w:right w:val="single" w:sz="8" w:space="0" w:color="auto"/>
            </w:tcBorders>
            <w:shd w:val="clear" w:color="auto" w:fill="auto"/>
            <w:vAlign w:val="bottom"/>
          </w:tcPr>
          <w:p w:rsidR="004232D2" w:rsidRPr="004232D2" w:rsidRDefault="004232D2" w:rsidP="0032465A">
            <w:pPr>
              <w:spacing w:before="60" w:after="60"/>
              <w:jc w:val="right"/>
              <w:rPr>
                <w:rFonts w:ascii="Arial" w:hAnsi="Arial" w:cs="Arial"/>
                <w:sz w:val="16"/>
                <w:szCs w:val="16"/>
                <w:lang w:eastAsia="en-NZ"/>
              </w:rPr>
            </w:pPr>
            <w:r w:rsidRPr="00FF0509">
              <w:rPr>
                <w:rFonts w:ascii="Arial" w:hAnsi="Arial" w:cs="Arial"/>
                <w:sz w:val="16"/>
                <w:szCs w:val="16"/>
              </w:rPr>
              <w:t>2.33</w:t>
            </w:r>
          </w:p>
        </w:tc>
        <w:tc>
          <w:tcPr>
            <w:tcW w:w="1518" w:type="dxa"/>
            <w:tcBorders>
              <w:top w:val="nil"/>
              <w:left w:val="nil"/>
              <w:bottom w:val="single" w:sz="8" w:space="0" w:color="auto"/>
              <w:right w:val="single" w:sz="8" w:space="0" w:color="auto"/>
            </w:tcBorders>
            <w:shd w:val="clear" w:color="auto" w:fill="auto"/>
            <w:vAlign w:val="bottom"/>
          </w:tcPr>
          <w:p w:rsidR="004232D2" w:rsidRPr="004232D2" w:rsidRDefault="004232D2" w:rsidP="0032465A">
            <w:pPr>
              <w:spacing w:before="60" w:after="60"/>
              <w:jc w:val="right"/>
              <w:rPr>
                <w:rFonts w:ascii="Arial" w:hAnsi="Arial" w:cs="Arial"/>
                <w:sz w:val="16"/>
                <w:szCs w:val="16"/>
                <w:lang w:eastAsia="en-NZ"/>
              </w:rPr>
            </w:pPr>
            <w:r w:rsidRPr="00FF0509">
              <w:rPr>
                <w:rFonts w:ascii="Arial" w:hAnsi="Arial" w:cs="Arial"/>
                <w:sz w:val="16"/>
                <w:szCs w:val="16"/>
              </w:rPr>
              <w:t>0.0247</w:t>
            </w:r>
          </w:p>
        </w:tc>
        <w:tc>
          <w:tcPr>
            <w:tcW w:w="1318" w:type="dxa"/>
            <w:tcBorders>
              <w:top w:val="nil"/>
              <w:left w:val="nil"/>
              <w:bottom w:val="single" w:sz="8" w:space="0" w:color="auto"/>
              <w:right w:val="single" w:sz="8" w:space="0" w:color="auto"/>
            </w:tcBorders>
            <w:shd w:val="clear" w:color="auto" w:fill="auto"/>
            <w:vAlign w:val="bottom"/>
          </w:tcPr>
          <w:p w:rsidR="004232D2" w:rsidRPr="004232D2" w:rsidRDefault="004232D2" w:rsidP="0032465A">
            <w:pPr>
              <w:spacing w:before="60" w:after="60"/>
              <w:jc w:val="right"/>
              <w:rPr>
                <w:rFonts w:ascii="Arial" w:hAnsi="Arial" w:cs="Arial"/>
                <w:sz w:val="16"/>
                <w:szCs w:val="16"/>
                <w:lang w:eastAsia="en-NZ"/>
              </w:rPr>
            </w:pPr>
            <w:r w:rsidRPr="00FF0509">
              <w:rPr>
                <w:rFonts w:ascii="Arial" w:hAnsi="Arial" w:cs="Arial"/>
                <w:sz w:val="16"/>
                <w:szCs w:val="16"/>
              </w:rPr>
              <w:t>0.0797</w:t>
            </w:r>
          </w:p>
        </w:tc>
        <w:tc>
          <w:tcPr>
            <w:tcW w:w="1097" w:type="dxa"/>
            <w:tcBorders>
              <w:top w:val="nil"/>
              <w:left w:val="nil"/>
              <w:bottom w:val="single" w:sz="8" w:space="0" w:color="auto"/>
              <w:right w:val="single" w:sz="8" w:space="0" w:color="auto"/>
            </w:tcBorders>
            <w:shd w:val="clear" w:color="auto" w:fill="auto"/>
            <w:vAlign w:val="bottom"/>
          </w:tcPr>
          <w:p w:rsidR="004232D2" w:rsidRPr="004232D2" w:rsidRDefault="006C259E" w:rsidP="0032465A">
            <w:pPr>
              <w:spacing w:before="60" w:after="60"/>
              <w:jc w:val="right"/>
              <w:rPr>
                <w:rFonts w:ascii="Arial" w:hAnsi="Arial" w:cs="Arial"/>
                <w:sz w:val="16"/>
                <w:szCs w:val="16"/>
                <w:lang w:eastAsia="en-NZ"/>
              </w:rPr>
            </w:pPr>
            <w:r>
              <w:rPr>
                <w:rFonts w:ascii="Arial" w:hAnsi="Arial" w:cs="Arial"/>
                <w:sz w:val="16"/>
                <w:szCs w:val="16"/>
              </w:rPr>
              <w:t>1.8</w:t>
            </w:r>
          </w:p>
        </w:tc>
      </w:tr>
      <w:tr w:rsidR="004232D2" w:rsidRPr="004232D2" w:rsidTr="004232D2">
        <w:trPr>
          <w:cantSplit/>
          <w:trHeight w:val="276"/>
        </w:trPr>
        <w:tc>
          <w:tcPr>
            <w:tcW w:w="1290" w:type="dxa"/>
            <w:tcBorders>
              <w:top w:val="nil"/>
              <w:left w:val="single" w:sz="8" w:space="0" w:color="auto"/>
              <w:bottom w:val="single" w:sz="8" w:space="0" w:color="auto"/>
              <w:right w:val="single" w:sz="8" w:space="0" w:color="auto"/>
            </w:tcBorders>
            <w:shd w:val="clear" w:color="auto" w:fill="auto"/>
            <w:noWrap/>
            <w:hideMark/>
          </w:tcPr>
          <w:p w:rsidR="004232D2" w:rsidRPr="00756F8E" w:rsidRDefault="004232D2" w:rsidP="0032465A">
            <w:pPr>
              <w:spacing w:before="60" w:after="60"/>
              <w:jc w:val="left"/>
              <w:rPr>
                <w:rFonts w:ascii="Arial" w:hAnsi="Arial" w:cs="Arial"/>
                <w:sz w:val="16"/>
                <w:szCs w:val="16"/>
                <w:lang w:eastAsia="en-NZ"/>
              </w:rPr>
            </w:pPr>
            <w:r w:rsidRPr="00756F8E">
              <w:rPr>
                <w:rFonts w:ascii="Arial" w:hAnsi="Arial" w:cs="Arial"/>
                <w:sz w:val="16"/>
                <w:szCs w:val="16"/>
                <w:lang w:eastAsia="en-NZ"/>
              </w:rPr>
              <w:t>Petrol – default*</w:t>
            </w:r>
          </w:p>
        </w:tc>
        <w:tc>
          <w:tcPr>
            <w:tcW w:w="960" w:type="dxa"/>
            <w:tcBorders>
              <w:top w:val="nil"/>
              <w:left w:val="nil"/>
              <w:bottom w:val="single" w:sz="8" w:space="0" w:color="auto"/>
              <w:right w:val="single" w:sz="8" w:space="0" w:color="auto"/>
            </w:tcBorders>
            <w:shd w:val="clear" w:color="auto" w:fill="auto"/>
            <w:noWrap/>
            <w:hideMark/>
          </w:tcPr>
          <w:p w:rsidR="004232D2" w:rsidRPr="00756F8E" w:rsidRDefault="004232D2" w:rsidP="0032465A">
            <w:pPr>
              <w:spacing w:before="60" w:after="60"/>
              <w:jc w:val="left"/>
              <w:rPr>
                <w:rFonts w:ascii="Arial" w:hAnsi="Arial" w:cs="Arial"/>
                <w:sz w:val="16"/>
                <w:szCs w:val="16"/>
                <w:lang w:eastAsia="en-NZ"/>
              </w:rPr>
            </w:pPr>
            <w:r w:rsidRPr="00756F8E">
              <w:rPr>
                <w:rFonts w:ascii="Arial" w:hAnsi="Arial" w:cs="Arial"/>
                <w:sz w:val="16"/>
                <w:szCs w:val="16"/>
                <w:lang w:eastAsia="en-NZ"/>
              </w:rPr>
              <w:t>litre</w:t>
            </w:r>
          </w:p>
        </w:tc>
        <w:tc>
          <w:tcPr>
            <w:tcW w:w="928" w:type="dxa"/>
            <w:tcBorders>
              <w:top w:val="nil"/>
              <w:left w:val="nil"/>
              <w:bottom w:val="single" w:sz="8" w:space="0" w:color="auto"/>
              <w:right w:val="single" w:sz="8" w:space="0" w:color="auto"/>
            </w:tcBorders>
            <w:shd w:val="clear" w:color="auto" w:fill="auto"/>
            <w:noWrap/>
            <w:vAlign w:val="bottom"/>
          </w:tcPr>
          <w:p w:rsidR="004232D2" w:rsidRPr="004232D2" w:rsidRDefault="004232D2" w:rsidP="0032465A">
            <w:pPr>
              <w:spacing w:before="60" w:after="60"/>
              <w:jc w:val="right"/>
              <w:rPr>
                <w:rFonts w:ascii="Arial" w:hAnsi="Arial" w:cs="Arial"/>
                <w:sz w:val="16"/>
                <w:szCs w:val="16"/>
                <w:lang w:eastAsia="en-NZ"/>
              </w:rPr>
            </w:pPr>
            <w:r w:rsidRPr="00FF0509">
              <w:rPr>
                <w:rFonts w:ascii="Arial" w:hAnsi="Arial" w:cs="Arial"/>
                <w:sz w:val="16"/>
                <w:szCs w:val="16"/>
              </w:rPr>
              <w:t>2.43</w:t>
            </w:r>
          </w:p>
        </w:tc>
        <w:tc>
          <w:tcPr>
            <w:tcW w:w="928" w:type="dxa"/>
            <w:tcBorders>
              <w:top w:val="nil"/>
              <w:left w:val="nil"/>
              <w:bottom w:val="single" w:sz="8" w:space="0" w:color="auto"/>
              <w:right w:val="single" w:sz="8" w:space="0" w:color="auto"/>
            </w:tcBorders>
            <w:shd w:val="clear" w:color="auto" w:fill="auto"/>
            <w:noWrap/>
            <w:vAlign w:val="bottom"/>
          </w:tcPr>
          <w:p w:rsidR="004232D2" w:rsidRPr="004232D2" w:rsidRDefault="004232D2" w:rsidP="0032465A">
            <w:pPr>
              <w:spacing w:before="60" w:after="60"/>
              <w:jc w:val="right"/>
              <w:rPr>
                <w:rFonts w:ascii="Arial" w:hAnsi="Arial" w:cs="Arial"/>
                <w:sz w:val="16"/>
                <w:szCs w:val="16"/>
                <w:lang w:eastAsia="en-NZ"/>
              </w:rPr>
            </w:pPr>
            <w:r w:rsidRPr="00FF0509">
              <w:rPr>
                <w:rFonts w:ascii="Arial" w:hAnsi="Arial" w:cs="Arial"/>
                <w:sz w:val="16"/>
                <w:szCs w:val="16"/>
              </w:rPr>
              <w:t>2.33</w:t>
            </w:r>
          </w:p>
        </w:tc>
        <w:tc>
          <w:tcPr>
            <w:tcW w:w="1518" w:type="dxa"/>
            <w:tcBorders>
              <w:top w:val="nil"/>
              <w:left w:val="nil"/>
              <w:bottom w:val="single" w:sz="8" w:space="0" w:color="auto"/>
              <w:right w:val="single" w:sz="8" w:space="0" w:color="auto"/>
            </w:tcBorders>
            <w:shd w:val="clear" w:color="auto" w:fill="auto"/>
            <w:noWrap/>
            <w:vAlign w:val="bottom"/>
          </w:tcPr>
          <w:p w:rsidR="004232D2" w:rsidRPr="004232D2" w:rsidRDefault="004232D2" w:rsidP="0032465A">
            <w:pPr>
              <w:spacing w:before="60" w:after="60"/>
              <w:jc w:val="right"/>
              <w:rPr>
                <w:rFonts w:ascii="Arial" w:hAnsi="Arial" w:cs="Arial"/>
                <w:sz w:val="16"/>
                <w:szCs w:val="16"/>
                <w:lang w:eastAsia="en-NZ"/>
              </w:rPr>
            </w:pPr>
            <w:r w:rsidRPr="00FF0509">
              <w:rPr>
                <w:rFonts w:ascii="Arial" w:hAnsi="Arial" w:cs="Arial"/>
                <w:sz w:val="16"/>
                <w:szCs w:val="16"/>
              </w:rPr>
              <w:t>0.0246</w:t>
            </w:r>
          </w:p>
        </w:tc>
        <w:tc>
          <w:tcPr>
            <w:tcW w:w="1318" w:type="dxa"/>
            <w:tcBorders>
              <w:top w:val="nil"/>
              <w:left w:val="nil"/>
              <w:bottom w:val="single" w:sz="8" w:space="0" w:color="auto"/>
              <w:right w:val="single" w:sz="8" w:space="0" w:color="auto"/>
            </w:tcBorders>
            <w:shd w:val="clear" w:color="auto" w:fill="auto"/>
            <w:noWrap/>
            <w:vAlign w:val="bottom"/>
          </w:tcPr>
          <w:p w:rsidR="004232D2" w:rsidRPr="004232D2" w:rsidRDefault="004232D2" w:rsidP="0032465A">
            <w:pPr>
              <w:spacing w:before="60" w:after="60"/>
              <w:jc w:val="right"/>
              <w:rPr>
                <w:rFonts w:ascii="Arial" w:hAnsi="Arial" w:cs="Arial"/>
                <w:sz w:val="16"/>
                <w:szCs w:val="16"/>
                <w:lang w:eastAsia="en-NZ"/>
              </w:rPr>
            </w:pPr>
            <w:r w:rsidRPr="00FF0509">
              <w:rPr>
                <w:rFonts w:ascii="Arial" w:hAnsi="Arial" w:cs="Arial"/>
                <w:sz w:val="16"/>
                <w:szCs w:val="16"/>
              </w:rPr>
              <w:t>0.0794</w:t>
            </w:r>
          </w:p>
        </w:tc>
        <w:tc>
          <w:tcPr>
            <w:tcW w:w="1097" w:type="dxa"/>
            <w:tcBorders>
              <w:top w:val="nil"/>
              <w:left w:val="nil"/>
              <w:bottom w:val="single" w:sz="8" w:space="0" w:color="auto"/>
              <w:right w:val="single" w:sz="8" w:space="0" w:color="auto"/>
            </w:tcBorders>
            <w:shd w:val="clear" w:color="auto" w:fill="auto"/>
            <w:noWrap/>
            <w:vAlign w:val="bottom"/>
          </w:tcPr>
          <w:p w:rsidR="004232D2" w:rsidRPr="004232D2" w:rsidRDefault="006C259E" w:rsidP="0032465A">
            <w:pPr>
              <w:spacing w:before="60" w:after="60"/>
              <w:jc w:val="right"/>
              <w:rPr>
                <w:rFonts w:ascii="Arial" w:hAnsi="Arial" w:cs="Arial"/>
                <w:sz w:val="16"/>
                <w:szCs w:val="16"/>
                <w:lang w:eastAsia="en-NZ"/>
              </w:rPr>
            </w:pPr>
            <w:r>
              <w:rPr>
                <w:rFonts w:ascii="Arial" w:hAnsi="Arial" w:cs="Arial"/>
                <w:sz w:val="16"/>
                <w:szCs w:val="16"/>
              </w:rPr>
              <w:t>1.8</w:t>
            </w:r>
          </w:p>
        </w:tc>
      </w:tr>
      <w:tr w:rsidR="004232D2" w:rsidRPr="004232D2" w:rsidTr="004232D2">
        <w:trPr>
          <w:cantSplit/>
          <w:trHeight w:val="276"/>
        </w:trPr>
        <w:tc>
          <w:tcPr>
            <w:tcW w:w="1290" w:type="dxa"/>
            <w:tcBorders>
              <w:top w:val="nil"/>
              <w:left w:val="single" w:sz="8" w:space="0" w:color="auto"/>
              <w:bottom w:val="single" w:sz="8" w:space="0" w:color="auto"/>
              <w:right w:val="single" w:sz="8" w:space="0" w:color="auto"/>
            </w:tcBorders>
            <w:shd w:val="clear" w:color="auto" w:fill="auto"/>
            <w:noWrap/>
            <w:hideMark/>
          </w:tcPr>
          <w:p w:rsidR="004232D2" w:rsidRPr="00756F8E" w:rsidRDefault="004232D2" w:rsidP="0032465A">
            <w:pPr>
              <w:spacing w:before="60" w:after="60"/>
              <w:jc w:val="left"/>
              <w:rPr>
                <w:rFonts w:ascii="Arial" w:hAnsi="Arial" w:cs="Arial"/>
                <w:sz w:val="16"/>
                <w:szCs w:val="16"/>
                <w:lang w:eastAsia="en-NZ"/>
              </w:rPr>
            </w:pPr>
            <w:r w:rsidRPr="00756F8E">
              <w:rPr>
                <w:rFonts w:ascii="Arial" w:hAnsi="Arial" w:cs="Arial"/>
                <w:sz w:val="16"/>
                <w:szCs w:val="16"/>
                <w:lang w:eastAsia="en-NZ"/>
              </w:rPr>
              <w:t>Diesel</w:t>
            </w:r>
          </w:p>
        </w:tc>
        <w:tc>
          <w:tcPr>
            <w:tcW w:w="960" w:type="dxa"/>
            <w:tcBorders>
              <w:top w:val="nil"/>
              <w:left w:val="nil"/>
              <w:bottom w:val="single" w:sz="8" w:space="0" w:color="auto"/>
              <w:right w:val="single" w:sz="8" w:space="0" w:color="auto"/>
            </w:tcBorders>
            <w:shd w:val="clear" w:color="auto" w:fill="auto"/>
            <w:noWrap/>
            <w:hideMark/>
          </w:tcPr>
          <w:p w:rsidR="004232D2" w:rsidRPr="00756F8E" w:rsidRDefault="004232D2" w:rsidP="0032465A">
            <w:pPr>
              <w:spacing w:before="60" w:after="60"/>
              <w:jc w:val="left"/>
              <w:rPr>
                <w:rFonts w:ascii="Arial" w:hAnsi="Arial" w:cs="Arial"/>
                <w:sz w:val="16"/>
                <w:szCs w:val="16"/>
                <w:lang w:eastAsia="en-NZ"/>
              </w:rPr>
            </w:pPr>
            <w:r w:rsidRPr="00756F8E">
              <w:rPr>
                <w:rFonts w:ascii="Arial" w:hAnsi="Arial" w:cs="Arial"/>
                <w:sz w:val="16"/>
                <w:szCs w:val="16"/>
                <w:lang w:eastAsia="en-NZ"/>
              </w:rPr>
              <w:t>litre</w:t>
            </w:r>
          </w:p>
        </w:tc>
        <w:tc>
          <w:tcPr>
            <w:tcW w:w="928" w:type="dxa"/>
            <w:tcBorders>
              <w:top w:val="nil"/>
              <w:left w:val="nil"/>
              <w:bottom w:val="single" w:sz="8" w:space="0" w:color="auto"/>
              <w:right w:val="single" w:sz="8" w:space="0" w:color="auto"/>
            </w:tcBorders>
            <w:shd w:val="clear" w:color="auto" w:fill="auto"/>
            <w:noWrap/>
            <w:vAlign w:val="bottom"/>
          </w:tcPr>
          <w:p w:rsidR="004232D2" w:rsidRPr="004232D2" w:rsidRDefault="004232D2" w:rsidP="0032465A">
            <w:pPr>
              <w:spacing w:before="60" w:after="60"/>
              <w:jc w:val="right"/>
              <w:rPr>
                <w:rFonts w:ascii="Arial" w:hAnsi="Arial" w:cs="Arial"/>
                <w:sz w:val="16"/>
                <w:szCs w:val="16"/>
                <w:lang w:eastAsia="en-NZ"/>
              </w:rPr>
            </w:pPr>
            <w:r w:rsidRPr="00FF0509">
              <w:rPr>
                <w:rFonts w:ascii="Arial" w:hAnsi="Arial" w:cs="Arial"/>
                <w:sz w:val="16"/>
                <w:szCs w:val="16"/>
              </w:rPr>
              <w:t>2.72</w:t>
            </w:r>
          </w:p>
        </w:tc>
        <w:tc>
          <w:tcPr>
            <w:tcW w:w="928" w:type="dxa"/>
            <w:tcBorders>
              <w:top w:val="nil"/>
              <w:left w:val="nil"/>
              <w:bottom w:val="single" w:sz="8" w:space="0" w:color="auto"/>
              <w:right w:val="single" w:sz="8" w:space="0" w:color="auto"/>
            </w:tcBorders>
            <w:shd w:val="clear" w:color="auto" w:fill="auto"/>
            <w:noWrap/>
            <w:vAlign w:val="bottom"/>
          </w:tcPr>
          <w:p w:rsidR="004232D2" w:rsidRPr="004232D2" w:rsidRDefault="004232D2" w:rsidP="0032465A">
            <w:pPr>
              <w:spacing w:before="60" w:after="60"/>
              <w:jc w:val="right"/>
              <w:rPr>
                <w:rFonts w:ascii="Arial" w:hAnsi="Arial" w:cs="Arial"/>
                <w:sz w:val="16"/>
                <w:szCs w:val="16"/>
                <w:lang w:eastAsia="en-NZ"/>
              </w:rPr>
            </w:pPr>
            <w:r w:rsidRPr="00FF0509">
              <w:rPr>
                <w:rFonts w:ascii="Arial" w:hAnsi="Arial" w:cs="Arial"/>
                <w:sz w:val="16"/>
                <w:szCs w:val="16"/>
              </w:rPr>
              <w:t>2.67</w:t>
            </w:r>
          </w:p>
        </w:tc>
        <w:tc>
          <w:tcPr>
            <w:tcW w:w="1518" w:type="dxa"/>
            <w:tcBorders>
              <w:top w:val="nil"/>
              <w:left w:val="nil"/>
              <w:bottom w:val="single" w:sz="8" w:space="0" w:color="auto"/>
              <w:right w:val="single" w:sz="8" w:space="0" w:color="auto"/>
            </w:tcBorders>
            <w:shd w:val="clear" w:color="auto" w:fill="auto"/>
            <w:noWrap/>
            <w:vAlign w:val="bottom"/>
          </w:tcPr>
          <w:p w:rsidR="004232D2" w:rsidRPr="004232D2" w:rsidRDefault="004232D2" w:rsidP="0032465A">
            <w:pPr>
              <w:spacing w:before="60" w:after="60"/>
              <w:jc w:val="right"/>
              <w:rPr>
                <w:rFonts w:ascii="Arial" w:hAnsi="Arial" w:cs="Arial"/>
                <w:sz w:val="16"/>
                <w:szCs w:val="16"/>
                <w:lang w:eastAsia="en-NZ"/>
              </w:rPr>
            </w:pPr>
            <w:r w:rsidRPr="00FF0509">
              <w:rPr>
                <w:rFonts w:ascii="Arial" w:hAnsi="Arial" w:cs="Arial"/>
                <w:sz w:val="16"/>
                <w:szCs w:val="16"/>
              </w:rPr>
              <w:t>0.00356</w:t>
            </w:r>
          </w:p>
        </w:tc>
        <w:tc>
          <w:tcPr>
            <w:tcW w:w="1318" w:type="dxa"/>
            <w:tcBorders>
              <w:top w:val="nil"/>
              <w:left w:val="nil"/>
              <w:bottom w:val="single" w:sz="8" w:space="0" w:color="auto"/>
              <w:right w:val="single" w:sz="8" w:space="0" w:color="auto"/>
            </w:tcBorders>
            <w:shd w:val="clear" w:color="auto" w:fill="auto"/>
            <w:noWrap/>
            <w:vAlign w:val="bottom"/>
          </w:tcPr>
          <w:p w:rsidR="004232D2" w:rsidRPr="004232D2" w:rsidRDefault="004232D2" w:rsidP="0032465A">
            <w:pPr>
              <w:spacing w:before="60" w:after="60"/>
              <w:jc w:val="right"/>
              <w:rPr>
                <w:rFonts w:ascii="Arial" w:hAnsi="Arial" w:cs="Arial"/>
                <w:sz w:val="16"/>
                <w:szCs w:val="16"/>
                <w:lang w:eastAsia="en-NZ"/>
              </w:rPr>
            </w:pPr>
            <w:r w:rsidRPr="00FF0509">
              <w:rPr>
                <w:rFonts w:ascii="Arial" w:hAnsi="Arial" w:cs="Arial"/>
                <w:sz w:val="16"/>
                <w:szCs w:val="16"/>
              </w:rPr>
              <w:t>0.0424</w:t>
            </w:r>
          </w:p>
        </w:tc>
        <w:tc>
          <w:tcPr>
            <w:tcW w:w="1097" w:type="dxa"/>
            <w:tcBorders>
              <w:top w:val="nil"/>
              <w:left w:val="nil"/>
              <w:bottom w:val="single" w:sz="8" w:space="0" w:color="auto"/>
              <w:right w:val="single" w:sz="8" w:space="0" w:color="auto"/>
            </w:tcBorders>
            <w:shd w:val="clear" w:color="auto" w:fill="auto"/>
            <w:noWrap/>
            <w:vAlign w:val="bottom"/>
          </w:tcPr>
          <w:p w:rsidR="004232D2" w:rsidRPr="004232D2" w:rsidRDefault="006C259E" w:rsidP="0032465A">
            <w:pPr>
              <w:spacing w:before="60" w:after="60"/>
              <w:jc w:val="right"/>
              <w:rPr>
                <w:rFonts w:ascii="Arial" w:hAnsi="Arial" w:cs="Arial"/>
                <w:sz w:val="16"/>
                <w:szCs w:val="16"/>
                <w:lang w:eastAsia="en-NZ"/>
              </w:rPr>
            </w:pPr>
            <w:r>
              <w:rPr>
                <w:rFonts w:ascii="Arial" w:hAnsi="Arial" w:cs="Arial"/>
                <w:sz w:val="16"/>
                <w:szCs w:val="16"/>
              </w:rPr>
              <w:t>0.9</w:t>
            </w:r>
          </w:p>
        </w:tc>
      </w:tr>
      <w:tr w:rsidR="004232D2" w:rsidRPr="004232D2" w:rsidTr="004232D2">
        <w:trPr>
          <w:cantSplit/>
          <w:trHeight w:val="276"/>
        </w:trPr>
        <w:tc>
          <w:tcPr>
            <w:tcW w:w="1290" w:type="dxa"/>
            <w:tcBorders>
              <w:top w:val="nil"/>
              <w:left w:val="single" w:sz="8" w:space="0" w:color="auto"/>
              <w:bottom w:val="single" w:sz="8" w:space="0" w:color="auto"/>
              <w:right w:val="single" w:sz="8" w:space="0" w:color="auto"/>
            </w:tcBorders>
            <w:shd w:val="clear" w:color="auto" w:fill="auto"/>
            <w:noWrap/>
            <w:hideMark/>
          </w:tcPr>
          <w:p w:rsidR="004232D2" w:rsidRPr="00756F8E" w:rsidRDefault="004232D2" w:rsidP="0032465A">
            <w:pPr>
              <w:spacing w:before="60" w:after="60"/>
              <w:jc w:val="left"/>
              <w:rPr>
                <w:rFonts w:ascii="Arial" w:hAnsi="Arial" w:cs="Arial"/>
                <w:sz w:val="16"/>
                <w:szCs w:val="16"/>
                <w:lang w:eastAsia="en-NZ"/>
              </w:rPr>
            </w:pPr>
            <w:r w:rsidRPr="00756F8E">
              <w:rPr>
                <w:rFonts w:ascii="Arial" w:hAnsi="Arial" w:cs="Arial"/>
                <w:sz w:val="16"/>
                <w:szCs w:val="16"/>
                <w:lang w:eastAsia="en-NZ"/>
              </w:rPr>
              <w:t>LPG</w:t>
            </w:r>
          </w:p>
        </w:tc>
        <w:tc>
          <w:tcPr>
            <w:tcW w:w="960" w:type="dxa"/>
            <w:tcBorders>
              <w:top w:val="nil"/>
              <w:left w:val="nil"/>
              <w:bottom w:val="single" w:sz="8" w:space="0" w:color="auto"/>
              <w:right w:val="single" w:sz="8" w:space="0" w:color="auto"/>
            </w:tcBorders>
            <w:shd w:val="clear" w:color="auto" w:fill="auto"/>
            <w:noWrap/>
            <w:hideMark/>
          </w:tcPr>
          <w:p w:rsidR="004232D2" w:rsidRPr="00756F8E" w:rsidRDefault="004232D2" w:rsidP="0032465A">
            <w:pPr>
              <w:spacing w:before="60" w:after="60"/>
              <w:jc w:val="left"/>
              <w:rPr>
                <w:rFonts w:ascii="Arial" w:hAnsi="Arial" w:cs="Arial"/>
                <w:sz w:val="16"/>
                <w:szCs w:val="16"/>
                <w:lang w:eastAsia="en-NZ"/>
              </w:rPr>
            </w:pPr>
            <w:r w:rsidRPr="00756F8E">
              <w:rPr>
                <w:rFonts w:ascii="Arial" w:hAnsi="Arial" w:cs="Arial"/>
                <w:sz w:val="16"/>
                <w:szCs w:val="16"/>
                <w:lang w:eastAsia="en-NZ"/>
              </w:rPr>
              <w:t>litre</w:t>
            </w:r>
          </w:p>
        </w:tc>
        <w:tc>
          <w:tcPr>
            <w:tcW w:w="928" w:type="dxa"/>
            <w:tcBorders>
              <w:top w:val="nil"/>
              <w:left w:val="nil"/>
              <w:bottom w:val="single" w:sz="8" w:space="0" w:color="auto"/>
              <w:right w:val="single" w:sz="8" w:space="0" w:color="auto"/>
            </w:tcBorders>
            <w:shd w:val="clear" w:color="auto" w:fill="auto"/>
            <w:noWrap/>
            <w:vAlign w:val="bottom"/>
          </w:tcPr>
          <w:p w:rsidR="004232D2" w:rsidRPr="004232D2" w:rsidRDefault="004232D2" w:rsidP="0032465A">
            <w:pPr>
              <w:spacing w:before="60" w:after="60"/>
              <w:jc w:val="right"/>
              <w:rPr>
                <w:rFonts w:ascii="Arial" w:hAnsi="Arial" w:cs="Arial"/>
                <w:sz w:val="16"/>
                <w:szCs w:val="16"/>
                <w:lang w:eastAsia="en-NZ"/>
              </w:rPr>
            </w:pPr>
            <w:r w:rsidRPr="00FF0509">
              <w:rPr>
                <w:rFonts w:ascii="Arial" w:hAnsi="Arial" w:cs="Arial"/>
                <w:sz w:val="16"/>
                <w:szCs w:val="16"/>
              </w:rPr>
              <w:t>1.64</w:t>
            </w:r>
          </w:p>
        </w:tc>
        <w:tc>
          <w:tcPr>
            <w:tcW w:w="928" w:type="dxa"/>
            <w:tcBorders>
              <w:top w:val="nil"/>
              <w:left w:val="nil"/>
              <w:bottom w:val="single" w:sz="8" w:space="0" w:color="auto"/>
              <w:right w:val="single" w:sz="8" w:space="0" w:color="auto"/>
            </w:tcBorders>
            <w:shd w:val="clear" w:color="auto" w:fill="auto"/>
            <w:noWrap/>
            <w:vAlign w:val="bottom"/>
          </w:tcPr>
          <w:p w:rsidR="004232D2" w:rsidRPr="004232D2" w:rsidRDefault="004232D2" w:rsidP="0032465A">
            <w:pPr>
              <w:spacing w:before="60" w:after="60"/>
              <w:jc w:val="right"/>
              <w:rPr>
                <w:rFonts w:ascii="Arial" w:hAnsi="Arial" w:cs="Arial"/>
                <w:sz w:val="16"/>
                <w:szCs w:val="16"/>
                <w:lang w:eastAsia="en-NZ"/>
              </w:rPr>
            </w:pPr>
            <w:r w:rsidRPr="00FF0509">
              <w:rPr>
                <w:rFonts w:ascii="Arial" w:hAnsi="Arial" w:cs="Arial"/>
                <w:sz w:val="16"/>
                <w:szCs w:val="16"/>
              </w:rPr>
              <w:t>1.60</w:t>
            </w:r>
          </w:p>
        </w:tc>
        <w:tc>
          <w:tcPr>
            <w:tcW w:w="1518" w:type="dxa"/>
            <w:tcBorders>
              <w:top w:val="nil"/>
              <w:left w:val="nil"/>
              <w:bottom w:val="single" w:sz="8" w:space="0" w:color="auto"/>
              <w:right w:val="single" w:sz="8" w:space="0" w:color="auto"/>
            </w:tcBorders>
            <w:shd w:val="clear" w:color="auto" w:fill="auto"/>
            <w:noWrap/>
            <w:vAlign w:val="bottom"/>
          </w:tcPr>
          <w:p w:rsidR="004232D2" w:rsidRPr="004232D2" w:rsidRDefault="004232D2" w:rsidP="0032465A">
            <w:pPr>
              <w:spacing w:before="60" w:after="60"/>
              <w:jc w:val="right"/>
              <w:rPr>
                <w:rFonts w:ascii="Arial" w:hAnsi="Arial" w:cs="Arial"/>
                <w:sz w:val="16"/>
                <w:szCs w:val="16"/>
                <w:lang w:eastAsia="en-NZ"/>
              </w:rPr>
            </w:pPr>
            <w:r w:rsidRPr="00FF0509">
              <w:rPr>
                <w:rFonts w:ascii="Arial" w:hAnsi="Arial" w:cs="Arial"/>
                <w:sz w:val="16"/>
                <w:szCs w:val="16"/>
              </w:rPr>
              <w:t>0.0391</w:t>
            </w:r>
          </w:p>
        </w:tc>
        <w:tc>
          <w:tcPr>
            <w:tcW w:w="1318" w:type="dxa"/>
            <w:tcBorders>
              <w:top w:val="nil"/>
              <w:left w:val="nil"/>
              <w:bottom w:val="single" w:sz="8" w:space="0" w:color="auto"/>
              <w:right w:val="single" w:sz="8" w:space="0" w:color="auto"/>
            </w:tcBorders>
            <w:shd w:val="clear" w:color="auto" w:fill="auto"/>
            <w:noWrap/>
            <w:vAlign w:val="bottom"/>
          </w:tcPr>
          <w:p w:rsidR="004232D2" w:rsidRPr="004232D2" w:rsidRDefault="004232D2" w:rsidP="0032465A">
            <w:pPr>
              <w:spacing w:before="60" w:after="60"/>
              <w:jc w:val="right"/>
              <w:rPr>
                <w:rFonts w:ascii="Arial" w:hAnsi="Arial" w:cs="Arial"/>
                <w:sz w:val="16"/>
                <w:szCs w:val="16"/>
                <w:lang w:eastAsia="en-NZ"/>
              </w:rPr>
            </w:pPr>
            <w:r w:rsidRPr="00FF0509">
              <w:rPr>
                <w:rFonts w:ascii="Arial" w:hAnsi="Arial" w:cs="Arial"/>
                <w:sz w:val="16"/>
                <w:szCs w:val="16"/>
              </w:rPr>
              <w:t>0.0015</w:t>
            </w:r>
          </w:p>
        </w:tc>
        <w:tc>
          <w:tcPr>
            <w:tcW w:w="1097" w:type="dxa"/>
            <w:tcBorders>
              <w:top w:val="nil"/>
              <w:left w:val="nil"/>
              <w:bottom w:val="single" w:sz="8" w:space="0" w:color="auto"/>
              <w:right w:val="single" w:sz="8" w:space="0" w:color="auto"/>
            </w:tcBorders>
            <w:shd w:val="clear" w:color="auto" w:fill="auto"/>
            <w:noWrap/>
            <w:vAlign w:val="bottom"/>
          </w:tcPr>
          <w:p w:rsidR="004232D2" w:rsidRPr="004232D2" w:rsidRDefault="006C259E" w:rsidP="0032465A">
            <w:pPr>
              <w:spacing w:before="60" w:after="60"/>
              <w:jc w:val="right"/>
              <w:rPr>
                <w:rFonts w:ascii="Arial" w:hAnsi="Arial" w:cs="Arial"/>
                <w:sz w:val="16"/>
                <w:szCs w:val="16"/>
                <w:lang w:eastAsia="en-NZ"/>
              </w:rPr>
            </w:pPr>
            <w:r>
              <w:rPr>
                <w:rFonts w:ascii="Arial" w:hAnsi="Arial" w:cs="Arial"/>
                <w:sz w:val="16"/>
                <w:szCs w:val="16"/>
              </w:rPr>
              <w:t>1.3</w:t>
            </w:r>
          </w:p>
        </w:tc>
      </w:tr>
      <w:tr w:rsidR="004232D2" w:rsidRPr="004232D2" w:rsidTr="004232D2">
        <w:trPr>
          <w:cantSplit/>
          <w:trHeight w:val="276"/>
        </w:trPr>
        <w:tc>
          <w:tcPr>
            <w:tcW w:w="1290" w:type="dxa"/>
            <w:tcBorders>
              <w:top w:val="nil"/>
              <w:left w:val="single" w:sz="8" w:space="0" w:color="auto"/>
              <w:bottom w:val="single" w:sz="8" w:space="0" w:color="auto"/>
              <w:right w:val="single" w:sz="8" w:space="0" w:color="auto"/>
            </w:tcBorders>
            <w:shd w:val="clear" w:color="auto" w:fill="auto"/>
            <w:noWrap/>
            <w:hideMark/>
          </w:tcPr>
          <w:p w:rsidR="004232D2" w:rsidRPr="00756F8E" w:rsidRDefault="004232D2" w:rsidP="0032465A">
            <w:pPr>
              <w:spacing w:before="60" w:after="60"/>
              <w:jc w:val="left"/>
              <w:rPr>
                <w:rFonts w:ascii="Arial" w:hAnsi="Arial" w:cs="Arial"/>
                <w:sz w:val="16"/>
                <w:szCs w:val="16"/>
                <w:lang w:eastAsia="en-NZ"/>
              </w:rPr>
            </w:pPr>
            <w:r w:rsidRPr="00756F8E">
              <w:rPr>
                <w:rFonts w:ascii="Arial" w:hAnsi="Arial" w:cs="Arial"/>
                <w:sz w:val="16"/>
                <w:szCs w:val="16"/>
                <w:lang w:eastAsia="en-NZ"/>
              </w:rPr>
              <w:t>Heavy fuel oil</w:t>
            </w:r>
          </w:p>
        </w:tc>
        <w:tc>
          <w:tcPr>
            <w:tcW w:w="960" w:type="dxa"/>
            <w:tcBorders>
              <w:top w:val="nil"/>
              <w:left w:val="nil"/>
              <w:bottom w:val="single" w:sz="8" w:space="0" w:color="auto"/>
              <w:right w:val="single" w:sz="8" w:space="0" w:color="auto"/>
            </w:tcBorders>
            <w:shd w:val="clear" w:color="auto" w:fill="auto"/>
            <w:noWrap/>
            <w:hideMark/>
          </w:tcPr>
          <w:p w:rsidR="004232D2" w:rsidRPr="00756F8E" w:rsidRDefault="004232D2" w:rsidP="0032465A">
            <w:pPr>
              <w:spacing w:before="60" w:after="60"/>
              <w:jc w:val="left"/>
              <w:rPr>
                <w:rFonts w:ascii="Arial" w:hAnsi="Arial" w:cs="Arial"/>
                <w:sz w:val="16"/>
                <w:szCs w:val="16"/>
                <w:lang w:eastAsia="en-NZ"/>
              </w:rPr>
            </w:pPr>
            <w:r w:rsidRPr="00756F8E">
              <w:rPr>
                <w:rFonts w:ascii="Arial" w:hAnsi="Arial" w:cs="Arial"/>
                <w:sz w:val="16"/>
                <w:szCs w:val="16"/>
                <w:lang w:eastAsia="en-NZ"/>
              </w:rPr>
              <w:t>litre</w:t>
            </w:r>
          </w:p>
        </w:tc>
        <w:tc>
          <w:tcPr>
            <w:tcW w:w="928" w:type="dxa"/>
            <w:tcBorders>
              <w:top w:val="nil"/>
              <w:left w:val="nil"/>
              <w:bottom w:val="single" w:sz="8" w:space="0" w:color="auto"/>
              <w:right w:val="single" w:sz="8" w:space="0" w:color="auto"/>
            </w:tcBorders>
            <w:shd w:val="clear" w:color="auto" w:fill="auto"/>
            <w:noWrap/>
            <w:vAlign w:val="bottom"/>
          </w:tcPr>
          <w:p w:rsidR="004232D2" w:rsidRPr="004232D2" w:rsidRDefault="004232D2" w:rsidP="0032465A">
            <w:pPr>
              <w:spacing w:before="60" w:after="60"/>
              <w:jc w:val="right"/>
              <w:rPr>
                <w:rFonts w:ascii="Arial" w:hAnsi="Arial" w:cs="Arial"/>
                <w:sz w:val="16"/>
                <w:szCs w:val="16"/>
                <w:lang w:eastAsia="en-NZ"/>
              </w:rPr>
            </w:pPr>
            <w:r w:rsidRPr="00FF0509">
              <w:rPr>
                <w:rFonts w:ascii="Arial" w:hAnsi="Arial" w:cs="Arial"/>
                <w:sz w:val="16"/>
                <w:szCs w:val="16"/>
              </w:rPr>
              <w:t>3.04</w:t>
            </w:r>
          </w:p>
        </w:tc>
        <w:tc>
          <w:tcPr>
            <w:tcW w:w="928" w:type="dxa"/>
            <w:tcBorders>
              <w:top w:val="nil"/>
              <w:left w:val="nil"/>
              <w:bottom w:val="single" w:sz="8" w:space="0" w:color="auto"/>
              <w:right w:val="single" w:sz="8" w:space="0" w:color="auto"/>
            </w:tcBorders>
            <w:shd w:val="clear" w:color="auto" w:fill="auto"/>
            <w:noWrap/>
            <w:vAlign w:val="bottom"/>
          </w:tcPr>
          <w:p w:rsidR="004232D2" w:rsidRPr="004232D2" w:rsidRDefault="004232D2" w:rsidP="0032465A">
            <w:pPr>
              <w:spacing w:before="60" w:after="60"/>
              <w:jc w:val="right"/>
              <w:rPr>
                <w:rFonts w:ascii="Arial" w:hAnsi="Arial" w:cs="Arial"/>
                <w:sz w:val="16"/>
                <w:szCs w:val="16"/>
                <w:lang w:eastAsia="en-NZ"/>
              </w:rPr>
            </w:pPr>
            <w:r w:rsidRPr="00FF0509">
              <w:rPr>
                <w:rFonts w:ascii="Arial" w:hAnsi="Arial" w:cs="Arial"/>
                <w:sz w:val="16"/>
                <w:szCs w:val="16"/>
              </w:rPr>
              <w:t>3.01</w:t>
            </w:r>
          </w:p>
        </w:tc>
        <w:tc>
          <w:tcPr>
            <w:tcW w:w="1518" w:type="dxa"/>
            <w:tcBorders>
              <w:top w:val="nil"/>
              <w:left w:val="nil"/>
              <w:bottom w:val="single" w:sz="8" w:space="0" w:color="auto"/>
              <w:right w:val="single" w:sz="8" w:space="0" w:color="auto"/>
            </w:tcBorders>
            <w:shd w:val="clear" w:color="auto" w:fill="auto"/>
            <w:noWrap/>
            <w:vAlign w:val="bottom"/>
          </w:tcPr>
          <w:p w:rsidR="004232D2" w:rsidRPr="004232D2" w:rsidRDefault="004232D2" w:rsidP="0032465A">
            <w:pPr>
              <w:spacing w:before="60" w:after="60"/>
              <w:jc w:val="right"/>
              <w:rPr>
                <w:rFonts w:ascii="Arial" w:hAnsi="Arial" w:cs="Arial"/>
                <w:sz w:val="16"/>
                <w:szCs w:val="16"/>
                <w:lang w:eastAsia="en-NZ"/>
              </w:rPr>
            </w:pPr>
            <w:r w:rsidRPr="00FF0509">
              <w:rPr>
                <w:rFonts w:ascii="Arial" w:hAnsi="Arial" w:cs="Arial"/>
                <w:sz w:val="16"/>
                <w:szCs w:val="16"/>
              </w:rPr>
              <w:t>0.00678</w:t>
            </w:r>
          </w:p>
        </w:tc>
        <w:tc>
          <w:tcPr>
            <w:tcW w:w="1318" w:type="dxa"/>
            <w:tcBorders>
              <w:top w:val="nil"/>
              <w:left w:val="nil"/>
              <w:bottom w:val="single" w:sz="8" w:space="0" w:color="auto"/>
              <w:right w:val="single" w:sz="8" w:space="0" w:color="auto"/>
            </w:tcBorders>
            <w:shd w:val="clear" w:color="auto" w:fill="auto"/>
            <w:noWrap/>
            <w:vAlign w:val="bottom"/>
          </w:tcPr>
          <w:p w:rsidR="004232D2" w:rsidRPr="004232D2" w:rsidRDefault="004232D2" w:rsidP="0032465A">
            <w:pPr>
              <w:spacing w:before="60" w:after="60"/>
              <w:jc w:val="right"/>
              <w:rPr>
                <w:rFonts w:ascii="Arial" w:hAnsi="Arial" w:cs="Arial"/>
                <w:sz w:val="16"/>
                <w:szCs w:val="16"/>
                <w:lang w:eastAsia="en-NZ"/>
              </w:rPr>
            </w:pPr>
            <w:r w:rsidRPr="00FF0509">
              <w:rPr>
                <w:rFonts w:ascii="Arial" w:hAnsi="Arial" w:cs="Arial"/>
                <w:sz w:val="16"/>
                <w:szCs w:val="16"/>
              </w:rPr>
              <w:t>0.0231</w:t>
            </w:r>
          </w:p>
        </w:tc>
        <w:tc>
          <w:tcPr>
            <w:tcW w:w="1097" w:type="dxa"/>
            <w:tcBorders>
              <w:top w:val="nil"/>
              <w:left w:val="nil"/>
              <w:bottom w:val="single" w:sz="8" w:space="0" w:color="auto"/>
              <w:right w:val="single" w:sz="8" w:space="0" w:color="auto"/>
            </w:tcBorders>
            <w:shd w:val="clear" w:color="auto" w:fill="auto"/>
            <w:noWrap/>
            <w:vAlign w:val="bottom"/>
          </w:tcPr>
          <w:p w:rsidR="004232D2" w:rsidRPr="004232D2" w:rsidRDefault="006C259E" w:rsidP="0032465A">
            <w:pPr>
              <w:spacing w:before="60" w:after="60"/>
              <w:jc w:val="right"/>
              <w:rPr>
                <w:rFonts w:ascii="Arial" w:hAnsi="Arial" w:cs="Arial"/>
                <w:sz w:val="16"/>
                <w:szCs w:val="16"/>
                <w:lang w:eastAsia="en-NZ"/>
              </w:rPr>
            </w:pPr>
            <w:r>
              <w:rPr>
                <w:rFonts w:ascii="Arial" w:hAnsi="Arial" w:cs="Arial"/>
                <w:sz w:val="16"/>
                <w:szCs w:val="16"/>
              </w:rPr>
              <w:t>0.6</w:t>
            </w:r>
          </w:p>
        </w:tc>
      </w:tr>
      <w:tr w:rsidR="004232D2" w:rsidRPr="004232D2" w:rsidTr="004232D2">
        <w:trPr>
          <w:cantSplit/>
          <w:trHeight w:val="276"/>
        </w:trPr>
        <w:tc>
          <w:tcPr>
            <w:tcW w:w="1290" w:type="dxa"/>
            <w:tcBorders>
              <w:top w:val="nil"/>
              <w:left w:val="single" w:sz="8" w:space="0" w:color="auto"/>
              <w:bottom w:val="single" w:sz="8" w:space="0" w:color="auto"/>
              <w:right w:val="single" w:sz="8" w:space="0" w:color="auto"/>
            </w:tcBorders>
            <w:shd w:val="clear" w:color="auto" w:fill="auto"/>
            <w:noWrap/>
            <w:hideMark/>
          </w:tcPr>
          <w:p w:rsidR="004232D2" w:rsidRPr="00756F8E" w:rsidRDefault="004232D2" w:rsidP="0032465A">
            <w:pPr>
              <w:spacing w:before="60" w:after="60"/>
              <w:jc w:val="left"/>
              <w:rPr>
                <w:rFonts w:ascii="Arial" w:hAnsi="Arial" w:cs="Arial"/>
                <w:sz w:val="16"/>
                <w:szCs w:val="16"/>
                <w:lang w:eastAsia="en-NZ"/>
              </w:rPr>
            </w:pPr>
            <w:r w:rsidRPr="00756F8E">
              <w:rPr>
                <w:rFonts w:ascii="Arial" w:hAnsi="Arial" w:cs="Arial"/>
                <w:sz w:val="16"/>
                <w:szCs w:val="16"/>
                <w:lang w:eastAsia="en-NZ"/>
              </w:rPr>
              <w:t>Light fuel oil</w:t>
            </w:r>
          </w:p>
        </w:tc>
        <w:tc>
          <w:tcPr>
            <w:tcW w:w="960" w:type="dxa"/>
            <w:tcBorders>
              <w:top w:val="nil"/>
              <w:left w:val="nil"/>
              <w:bottom w:val="single" w:sz="8" w:space="0" w:color="auto"/>
              <w:right w:val="single" w:sz="8" w:space="0" w:color="auto"/>
            </w:tcBorders>
            <w:shd w:val="clear" w:color="auto" w:fill="auto"/>
            <w:noWrap/>
            <w:hideMark/>
          </w:tcPr>
          <w:p w:rsidR="004232D2" w:rsidRPr="00756F8E" w:rsidRDefault="004232D2" w:rsidP="0032465A">
            <w:pPr>
              <w:spacing w:before="60" w:after="60"/>
              <w:jc w:val="left"/>
              <w:rPr>
                <w:rFonts w:ascii="Arial" w:hAnsi="Arial" w:cs="Arial"/>
                <w:sz w:val="16"/>
                <w:szCs w:val="16"/>
                <w:lang w:eastAsia="en-NZ"/>
              </w:rPr>
            </w:pPr>
            <w:r w:rsidRPr="00756F8E">
              <w:rPr>
                <w:rFonts w:ascii="Arial" w:hAnsi="Arial" w:cs="Arial"/>
                <w:sz w:val="16"/>
                <w:szCs w:val="16"/>
                <w:lang w:eastAsia="en-NZ"/>
              </w:rPr>
              <w:t>litre</w:t>
            </w:r>
          </w:p>
        </w:tc>
        <w:tc>
          <w:tcPr>
            <w:tcW w:w="928" w:type="dxa"/>
            <w:tcBorders>
              <w:top w:val="nil"/>
              <w:left w:val="nil"/>
              <w:bottom w:val="single" w:sz="8" w:space="0" w:color="auto"/>
              <w:right w:val="single" w:sz="8" w:space="0" w:color="auto"/>
            </w:tcBorders>
            <w:shd w:val="clear" w:color="auto" w:fill="auto"/>
            <w:noWrap/>
            <w:vAlign w:val="bottom"/>
          </w:tcPr>
          <w:p w:rsidR="004232D2" w:rsidRPr="004232D2" w:rsidRDefault="004232D2" w:rsidP="0032465A">
            <w:pPr>
              <w:spacing w:before="60" w:after="60"/>
              <w:jc w:val="right"/>
              <w:rPr>
                <w:rFonts w:ascii="Arial" w:hAnsi="Arial" w:cs="Arial"/>
                <w:sz w:val="16"/>
                <w:szCs w:val="16"/>
                <w:lang w:eastAsia="en-NZ"/>
              </w:rPr>
            </w:pPr>
            <w:r w:rsidRPr="00FF0509">
              <w:rPr>
                <w:rFonts w:ascii="Arial" w:hAnsi="Arial" w:cs="Arial"/>
                <w:sz w:val="16"/>
                <w:szCs w:val="16"/>
              </w:rPr>
              <w:t>2.98</w:t>
            </w:r>
          </w:p>
        </w:tc>
        <w:tc>
          <w:tcPr>
            <w:tcW w:w="928" w:type="dxa"/>
            <w:tcBorders>
              <w:top w:val="nil"/>
              <w:left w:val="nil"/>
              <w:bottom w:val="single" w:sz="8" w:space="0" w:color="auto"/>
              <w:right w:val="single" w:sz="8" w:space="0" w:color="auto"/>
            </w:tcBorders>
            <w:shd w:val="clear" w:color="auto" w:fill="auto"/>
            <w:noWrap/>
            <w:vAlign w:val="bottom"/>
          </w:tcPr>
          <w:p w:rsidR="004232D2" w:rsidRPr="004232D2" w:rsidRDefault="004232D2" w:rsidP="0032465A">
            <w:pPr>
              <w:spacing w:before="60" w:after="60"/>
              <w:jc w:val="right"/>
              <w:rPr>
                <w:rFonts w:ascii="Arial" w:hAnsi="Arial" w:cs="Arial"/>
                <w:sz w:val="16"/>
                <w:szCs w:val="16"/>
                <w:lang w:eastAsia="en-NZ"/>
              </w:rPr>
            </w:pPr>
            <w:r w:rsidRPr="00FF0509">
              <w:rPr>
                <w:rFonts w:ascii="Arial" w:hAnsi="Arial" w:cs="Arial"/>
                <w:sz w:val="16"/>
                <w:szCs w:val="16"/>
              </w:rPr>
              <w:t>2.95</w:t>
            </w:r>
          </w:p>
        </w:tc>
        <w:tc>
          <w:tcPr>
            <w:tcW w:w="1518" w:type="dxa"/>
            <w:tcBorders>
              <w:top w:val="nil"/>
              <w:left w:val="nil"/>
              <w:bottom w:val="single" w:sz="8" w:space="0" w:color="auto"/>
              <w:right w:val="single" w:sz="8" w:space="0" w:color="auto"/>
            </w:tcBorders>
            <w:shd w:val="clear" w:color="auto" w:fill="auto"/>
            <w:noWrap/>
            <w:vAlign w:val="bottom"/>
          </w:tcPr>
          <w:p w:rsidR="004232D2" w:rsidRPr="004232D2" w:rsidRDefault="004232D2" w:rsidP="0032465A">
            <w:pPr>
              <w:spacing w:before="60" w:after="60"/>
              <w:jc w:val="right"/>
              <w:rPr>
                <w:rFonts w:ascii="Arial" w:hAnsi="Arial" w:cs="Arial"/>
                <w:sz w:val="16"/>
                <w:szCs w:val="16"/>
                <w:lang w:eastAsia="en-NZ"/>
              </w:rPr>
            </w:pPr>
            <w:r w:rsidRPr="00FF0509">
              <w:rPr>
                <w:rFonts w:ascii="Arial" w:hAnsi="Arial" w:cs="Arial"/>
                <w:sz w:val="16"/>
                <w:szCs w:val="16"/>
              </w:rPr>
              <w:t>0.00672</w:t>
            </w:r>
          </w:p>
        </w:tc>
        <w:tc>
          <w:tcPr>
            <w:tcW w:w="1318" w:type="dxa"/>
            <w:tcBorders>
              <w:top w:val="nil"/>
              <w:left w:val="nil"/>
              <w:bottom w:val="single" w:sz="8" w:space="0" w:color="auto"/>
              <w:right w:val="single" w:sz="8" w:space="0" w:color="auto"/>
            </w:tcBorders>
            <w:shd w:val="clear" w:color="auto" w:fill="auto"/>
            <w:noWrap/>
            <w:vAlign w:val="bottom"/>
          </w:tcPr>
          <w:p w:rsidR="004232D2" w:rsidRPr="004232D2" w:rsidRDefault="004232D2" w:rsidP="0032465A">
            <w:pPr>
              <w:spacing w:before="60" w:after="60"/>
              <w:jc w:val="right"/>
              <w:rPr>
                <w:rFonts w:ascii="Arial" w:hAnsi="Arial" w:cs="Arial"/>
                <w:sz w:val="16"/>
                <w:szCs w:val="16"/>
                <w:lang w:eastAsia="en-NZ"/>
              </w:rPr>
            </w:pPr>
            <w:r w:rsidRPr="00FF0509">
              <w:rPr>
                <w:rFonts w:ascii="Arial" w:hAnsi="Arial" w:cs="Arial"/>
                <w:sz w:val="16"/>
                <w:szCs w:val="16"/>
              </w:rPr>
              <w:t>0.0229</w:t>
            </w:r>
          </w:p>
        </w:tc>
        <w:tc>
          <w:tcPr>
            <w:tcW w:w="1097" w:type="dxa"/>
            <w:tcBorders>
              <w:top w:val="nil"/>
              <w:left w:val="nil"/>
              <w:bottom w:val="single" w:sz="8" w:space="0" w:color="auto"/>
              <w:right w:val="single" w:sz="8" w:space="0" w:color="auto"/>
            </w:tcBorders>
            <w:shd w:val="clear" w:color="auto" w:fill="auto"/>
            <w:noWrap/>
            <w:vAlign w:val="bottom"/>
          </w:tcPr>
          <w:p w:rsidR="004232D2" w:rsidRPr="004232D2" w:rsidRDefault="006C259E" w:rsidP="0032465A">
            <w:pPr>
              <w:spacing w:before="60" w:after="60"/>
              <w:jc w:val="right"/>
              <w:rPr>
                <w:rFonts w:ascii="Arial" w:hAnsi="Arial" w:cs="Arial"/>
                <w:sz w:val="16"/>
                <w:szCs w:val="16"/>
                <w:lang w:eastAsia="en-NZ"/>
              </w:rPr>
            </w:pPr>
            <w:r>
              <w:rPr>
                <w:rFonts w:ascii="Arial" w:hAnsi="Arial" w:cs="Arial"/>
                <w:sz w:val="16"/>
                <w:szCs w:val="16"/>
              </w:rPr>
              <w:t>0.6</w:t>
            </w:r>
          </w:p>
        </w:tc>
      </w:tr>
    </w:tbl>
    <w:p w:rsidR="009E3385" w:rsidRPr="000F1882" w:rsidRDefault="009E3385" w:rsidP="00C1684B">
      <w:pPr>
        <w:pStyle w:val="Note"/>
        <w:tabs>
          <w:tab w:val="clear" w:pos="680"/>
        </w:tabs>
        <w:ind w:left="397" w:hanging="397"/>
        <w:jc w:val="left"/>
      </w:pPr>
      <w:r w:rsidRPr="000F1882">
        <w:t>*</w:t>
      </w:r>
      <w:r w:rsidR="006B45F7">
        <w:tab/>
      </w:r>
      <w:r w:rsidRPr="000F1882">
        <w:t>The default petrol emission factor should be used if it is not possible to distinguish between regular and premium petrol use.</w:t>
      </w:r>
    </w:p>
    <w:p w:rsidR="009E3385" w:rsidRPr="000F1882" w:rsidRDefault="009E3385" w:rsidP="00C1684B">
      <w:pPr>
        <w:jc w:val="left"/>
      </w:pPr>
    </w:p>
    <w:p w:rsidR="009E3385" w:rsidRPr="000F1882" w:rsidRDefault="009E3385" w:rsidP="00C1684B">
      <w:pPr>
        <w:pStyle w:val="Heading4"/>
        <w:jc w:val="left"/>
      </w:pPr>
      <w:bookmarkStart w:id="108" w:name="_Toc185407825"/>
      <w:r w:rsidRPr="000F1882">
        <w:t>Assumptions</w:t>
      </w:r>
      <w:bookmarkEnd w:id="108"/>
    </w:p>
    <w:p w:rsidR="009E3385" w:rsidRPr="000F1882" w:rsidRDefault="009E3385" w:rsidP="00C1684B">
      <w:pPr>
        <w:jc w:val="left"/>
      </w:pPr>
      <w:r w:rsidRPr="00A504F7">
        <w:t>The kg CO</w:t>
      </w:r>
      <w:r w:rsidRPr="00A504F7">
        <w:rPr>
          <w:szCs w:val="22"/>
          <w:vertAlign w:val="subscript"/>
        </w:rPr>
        <w:t>2</w:t>
      </w:r>
      <w:r w:rsidRPr="00A504F7">
        <w:t xml:space="preserve">-e per activity unit emission factors supplied in </w:t>
      </w:r>
      <w:r w:rsidR="00EB1450">
        <w:t>table</w:t>
      </w:r>
      <w:r w:rsidR="00D92897">
        <w:t xml:space="preserve"> 2</w:t>
      </w:r>
      <w:r w:rsidRPr="00A504F7">
        <w:t xml:space="preserve"> are derived</w:t>
      </w:r>
      <w:r>
        <w:t xml:space="preserve"> by</w:t>
      </w:r>
      <w:r w:rsidRPr="00A504F7">
        <w:t xml:space="preserve"> </w:t>
      </w:r>
      <w:r w:rsidR="00177949">
        <w:t xml:space="preserve">the Ministry of Business, Innovation and Employment </w:t>
      </w:r>
      <w:r w:rsidRPr="00A504F7">
        <w:t xml:space="preserve">using calorific values. All emission factors incorporate relevant oxidation factors which are sourced from </w:t>
      </w:r>
      <w:r w:rsidRPr="00A504F7">
        <w:rPr>
          <w:i/>
        </w:rPr>
        <w:t xml:space="preserve">The IPCC Guidelines for National Greenhouse Gas Inventories </w:t>
      </w:r>
      <w:r w:rsidRPr="00AD2E70">
        <w:t>(</w:t>
      </w:r>
      <w:r w:rsidR="00AD2E70" w:rsidRPr="00AD2E70">
        <w:t xml:space="preserve">IPCC, </w:t>
      </w:r>
      <w:r w:rsidR="00E106FE">
        <w:t>2006</w:t>
      </w:r>
      <w:r w:rsidRPr="00AD2E70">
        <w:t>)</w:t>
      </w:r>
      <w:r w:rsidRPr="00A504F7">
        <w:t>.</w:t>
      </w:r>
    </w:p>
    <w:p w:rsidR="009E3385" w:rsidRPr="000F1882" w:rsidRDefault="009E3385" w:rsidP="00C1684B">
      <w:pPr>
        <w:jc w:val="left"/>
      </w:pPr>
    </w:p>
    <w:p w:rsidR="009E3385" w:rsidRPr="00D92897" w:rsidRDefault="009E3385" w:rsidP="00C1684B">
      <w:pPr>
        <w:jc w:val="left"/>
      </w:pPr>
      <w:r w:rsidRPr="000F1882">
        <w:t xml:space="preserve">The default petrol factor is a weighted average of regular and premium petrol based on </w:t>
      </w:r>
      <w:r w:rsidR="007E7985">
        <w:t>201</w:t>
      </w:r>
      <w:r w:rsidR="004232D2">
        <w:t>4</w:t>
      </w:r>
      <w:r w:rsidR="007E7985" w:rsidRPr="000F1882">
        <w:t xml:space="preserve"> </w:t>
      </w:r>
      <w:r w:rsidRPr="000F1882">
        <w:t xml:space="preserve">sales volume data from the </w:t>
      </w:r>
      <w:r w:rsidR="007E7985">
        <w:rPr>
          <w:i/>
        </w:rPr>
        <w:t>Energy in New Zealand 201</w:t>
      </w:r>
      <w:r w:rsidR="0088092C">
        <w:rPr>
          <w:i/>
        </w:rPr>
        <w:t>6</w:t>
      </w:r>
      <w:r w:rsidR="00756F8E">
        <w:t xml:space="preserve"> </w:t>
      </w:r>
      <w:r w:rsidR="00FF7919">
        <w:t xml:space="preserve">publication </w:t>
      </w:r>
      <w:r w:rsidR="009D4EF0">
        <w:t>(</w:t>
      </w:r>
      <w:r w:rsidR="005C4CCF">
        <w:t>M</w:t>
      </w:r>
      <w:r w:rsidR="00576339">
        <w:t>BIE</w:t>
      </w:r>
      <w:r w:rsidR="009D4EF0">
        <w:t xml:space="preserve">, </w:t>
      </w:r>
      <w:r w:rsidR="007E7985">
        <w:t>201</w:t>
      </w:r>
      <w:r w:rsidR="0088092C">
        <w:t>6</w:t>
      </w:r>
      <w:r w:rsidR="009D4EF0">
        <w:t>)</w:t>
      </w:r>
      <w:r w:rsidRPr="000F1882">
        <w:t>. It should be used when petrol use data does not distinguish between regular and premium petrol.</w:t>
      </w:r>
    </w:p>
    <w:p w:rsidR="009D4EF0" w:rsidRDefault="009D4EF0" w:rsidP="00C1684B">
      <w:pPr>
        <w:jc w:val="left"/>
      </w:pPr>
    </w:p>
    <w:p w:rsidR="00A05818" w:rsidRDefault="00A05818" w:rsidP="00C1684B">
      <w:pPr>
        <w:jc w:val="left"/>
      </w:pPr>
      <w:r>
        <w:lastRenderedPageBreak/>
        <w:t xml:space="preserve">No estimates </w:t>
      </w:r>
      <w:r w:rsidR="00483988">
        <w:t xml:space="preserve">have been included </w:t>
      </w:r>
      <w:r>
        <w:t xml:space="preserve">for marine diesel for the </w:t>
      </w:r>
      <w:r w:rsidR="00B11BA9">
        <w:t>201</w:t>
      </w:r>
      <w:r w:rsidR="00E3198C">
        <w:t>4</w:t>
      </w:r>
      <w:r w:rsidR="00B11BA9">
        <w:t xml:space="preserve"> </w:t>
      </w:r>
      <w:r>
        <w:t xml:space="preserve">year as the refinery has stopped making the marine diesel blend. If an organisation was using marine diesel it is now likely to be using </w:t>
      </w:r>
      <w:r w:rsidR="00CE570E">
        <w:t xml:space="preserve">light </w:t>
      </w:r>
      <w:r>
        <w:t>fuel oil in</w:t>
      </w:r>
      <w:r w:rsidR="00CE570E">
        <w:t>stead so the emission factor for light fuel oil should be used.</w:t>
      </w:r>
    </w:p>
    <w:p w:rsidR="00A05818" w:rsidRDefault="00A05818" w:rsidP="00C1684B">
      <w:pPr>
        <w:jc w:val="left"/>
      </w:pPr>
    </w:p>
    <w:p w:rsidR="00EC1311" w:rsidRDefault="009E3385" w:rsidP="00C1684B">
      <w:pPr>
        <w:jc w:val="left"/>
      </w:pPr>
      <w:r w:rsidRPr="000F1882">
        <w:t>As with the fuels for stationary combustion these emission factors are not full fuel cycle emission factors and do not incorporate the Scope 3 emissions associated with the extraction, production and transport of the fuel.</w:t>
      </w:r>
    </w:p>
    <w:p w:rsidR="00D92897" w:rsidRDefault="00D92897" w:rsidP="00D92897"/>
    <w:p w:rsidR="009E3385" w:rsidRPr="000F1882" w:rsidRDefault="009E3385" w:rsidP="00D92897">
      <w:pPr>
        <w:pStyle w:val="Heading4"/>
      </w:pPr>
      <w:bookmarkStart w:id="109" w:name="_Toc185407826"/>
      <w:r w:rsidRPr="000F1882">
        <w:t>Example calculation</w:t>
      </w:r>
      <w:bookmarkEnd w:id="109"/>
      <w:r w:rsidR="008D3392">
        <w:t>*</w:t>
      </w:r>
    </w:p>
    <w:p w:rsidR="009E3385" w:rsidRPr="000F1882" w:rsidRDefault="009E3385" w:rsidP="00D92897">
      <w:r w:rsidRPr="000F1882">
        <w:t xml:space="preserve">An organisation has 15 petrol vehicles. They used 40,000 litres of regular petrol in </w:t>
      </w:r>
      <w:r w:rsidR="00E825DE">
        <w:t>201</w:t>
      </w:r>
      <w:r w:rsidR="00D03BE0">
        <w:t>6</w:t>
      </w:r>
      <w:r w:rsidRPr="000F1882">
        <w:t>.</w:t>
      </w:r>
    </w:p>
    <w:p w:rsidR="00EC1311" w:rsidRDefault="009E3385" w:rsidP="00D92897">
      <w:pPr>
        <w:spacing w:before="120"/>
        <w:ind w:left="397"/>
      </w:pPr>
      <w:r w:rsidRPr="000F1882">
        <w:t>CO</w:t>
      </w:r>
      <w:r w:rsidRPr="000F1882">
        <w:rPr>
          <w:vertAlign w:val="subscript"/>
        </w:rPr>
        <w:t>2</w:t>
      </w:r>
      <w:r w:rsidRPr="000F1882">
        <w:t xml:space="preserve"> emissions = 40,000 </w:t>
      </w:r>
      <w:r w:rsidR="002064AE">
        <w:t>x</w:t>
      </w:r>
      <w:r w:rsidRPr="000F1882">
        <w:t xml:space="preserve"> </w:t>
      </w:r>
      <w:r w:rsidR="00F83ADB">
        <w:t>2.3</w:t>
      </w:r>
      <w:r w:rsidR="00956CD6">
        <w:t>3</w:t>
      </w:r>
      <w:r w:rsidR="00FC53D0" w:rsidRPr="000F1882">
        <w:t xml:space="preserve"> </w:t>
      </w:r>
      <w:r w:rsidRPr="000F1882">
        <w:t>= 9</w:t>
      </w:r>
      <w:r w:rsidR="00956CD6">
        <w:t>3</w:t>
      </w:r>
      <w:r w:rsidRPr="000F1882">
        <w:t>,</w:t>
      </w:r>
      <w:r w:rsidR="00956CD6">
        <w:t>2</w:t>
      </w:r>
      <w:r w:rsidR="00FC53D0">
        <w:t>00</w:t>
      </w:r>
      <w:r w:rsidR="00FC53D0" w:rsidRPr="000F1882">
        <w:t xml:space="preserve"> </w:t>
      </w:r>
      <w:r w:rsidRPr="000F1882">
        <w:t>kg CO</w:t>
      </w:r>
      <w:r w:rsidRPr="000F1882">
        <w:rPr>
          <w:vertAlign w:val="subscript"/>
        </w:rPr>
        <w:t>2</w:t>
      </w:r>
    </w:p>
    <w:p w:rsidR="00EC1311" w:rsidRDefault="009E3385" w:rsidP="00D92897">
      <w:pPr>
        <w:ind w:left="397"/>
      </w:pPr>
      <w:r w:rsidRPr="000F1882">
        <w:t>CH</w:t>
      </w:r>
      <w:r w:rsidRPr="000F1882">
        <w:rPr>
          <w:vertAlign w:val="subscript"/>
        </w:rPr>
        <w:t>4</w:t>
      </w:r>
      <w:r w:rsidRPr="000F1882">
        <w:t xml:space="preserve"> emissions = 40,000 </w:t>
      </w:r>
      <w:r w:rsidR="002064AE">
        <w:t>x</w:t>
      </w:r>
      <w:r w:rsidRPr="000F1882">
        <w:t xml:space="preserve"> </w:t>
      </w:r>
      <w:r w:rsidR="003067C0">
        <w:t>0.0</w:t>
      </w:r>
      <w:r w:rsidR="00F542A6">
        <w:t>246</w:t>
      </w:r>
      <w:r w:rsidRPr="000F1882">
        <w:t xml:space="preserve">= </w:t>
      </w:r>
      <w:r w:rsidR="00EB6124">
        <w:t>984</w:t>
      </w:r>
      <w:r w:rsidR="000451E8" w:rsidRPr="000F1882">
        <w:t xml:space="preserve"> </w:t>
      </w:r>
      <w:r w:rsidRPr="000F1882">
        <w:t>kg CO</w:t>
      </w:r>
      <w:r w:rsidRPr="000F1882">
        <w:rPr>
          <w:vertAlign w:val="subscript"/>
        </w:rPr>
        <w:t>2</w:t>
      </w:r>
      <w:r w:rsidRPr="000F1882">
        <w:t>-e</w:t>
      </w:r>
    </w:p>
    <w:p w:rsidR="00EC1311" w:rsidRDefault="009E3385" w:rsidP="00D92897">
      <w:pPr>
        <w:ind w:left="397"/>
      </w:pPr>
      <w:r w:rsidRPr="000F1882">
        <w:t>N</w:t>
      </w:r>
      <w:r w:rsidRPr="000F1882">
        <w:rPr>
          <w:vertAlign w:val="subscript"/>
        </w:rPr>
        <w:t>2</w:t>
      </w:r>
      <w:r w:rsidRPr="000F1882">
        <w:t xml:space="preserve">O emissions = 40,000 </w:t>
      </w:r>
      <w:r w:rsidR="002064AE">
        <w:t>x</w:t>
      </w:r>
      <w:r w:rsidRPr="000F1882">
        <w:t xml:space="preserve"> </w:t>
      </w:r>
      <w:r w:rsidR="003067C0">
        <w:t>0.0</w:t>
      </w:r>
      <w:r w:rsidR="00574B3A">
        <w:t>793</w:t>
      </w:r>
      <w:r w:rsidRPr="000F1882">
        <w:t xml:space="preserve">= </w:t>
      </w:r>
      <w:r w:rsidR="00EB6124">
        <w:t>3,172</w:t>
      </w:r>
      <w:r w:rsidR="000451E8" w:rsidRPr="000F1882">
        <w:t xml:space="preserve"> </w:t>
      </w:r>
      <w:r w:rsidRPr="000F1882">
        <w:t>kg CO</w:t>
      </w:r>
      <w:r w:rsidRPr="000F1882">
        <w:rPr>
          <w:vertAlign w:val="subscript"/>
        </w:rPr>
        <w:t>2</w:t>
      </w:r>
      <w:r w:rsidRPr="000F1882">
        <w:t>-e</w:t>
      </w:r>
    </w:p>
    <w:p w:rsidR="00EC1311" w:rsidRDefault="009E3385" w:rsidP="00D92897">
      <w:pPr>
        <w:ind w:left="397"/>
      </w:pPr>
      <w:r w:rsidRPr="000F1882">
        <w:t>Total CO</w:t>
      </w:r>
      <w:r w:rsidRPr="000F1882">
        <w:rPr>
          <w:vertAlign w:val="subscript"/>
        </w:rPr>
        <w:t>2</w:t>
      </w:r>
      <w:r w:rsidRPr="000F1882">
        <w:t xml:space="preserve">-e emissions = 40,000 </w:t>
      </w:r>
      <w:r w:rsidR="002064AE">
        <w:t>x</w:t>
      </w:r>
      <w:r w:rsidRPr="000F1882">
        <w:t xml:space="preserve"> </w:t>
      </w:r>
      <w:r w:rsidR="00F83ADB">
        <w:t>2.</w:t>
      </w:r>
      <w:r w:rsidR="00574B3A">
        <w:t>44</w:t>
      </w:r>
      <w:r w:rsidR="000451E8" w:rsidRPr="000F1882">
        <w:t xml:space="preserve"> </w:t>
      </w:r>
      <w:r w:rsidRPr="000F1882">
        <w:t xml:space="preserve">= </w:t>
      </w:r>
      <w:r w:rsidR="0065035D">
        <w:t>97,600</w:t>
      </w:r>
      <w:r w:rsidRPr="000F1882">
        <w:t>kg CO</w:t>
      </w:r>
      <w:r w:rsidRPr="000F1882">
        <w:rPr>
          <w:vertAlign w:val="subscript"/>
        </w:rPr>
        <w:t>2</w:t>
      </w:r>
      <w:r w:rsidRPr="000F1882">
        <w:t>-e</w:t>
      </w:r>
    </w:p>
    <w:p w:rsidR="008D3392" w:rsidRDefault="008D3392" w:rsidP="00D92897">
      <w:pPr>
        <w:ind w:left="397"/>
      </w:pPr>
    </w:p>
    <w:p w:rsidR="008D3392" w:rsidRDefault="008D3392" w:rsidP="00A241E7">
      <w:r>
        <w:t>* note numbers may not add due to rounding</w:t>
      </w:r>
    </w:p>
    <w:p w:rsidR="009E3385" w:rsidRPr="000F1882" w:rsidRDefault="009E3385" w:rsidP="00D92897"/>
    <w:p w:rsidR="009E3385" w:rsidRPr="00857043" w:rsidRDefault="009E3385" w:rsidP="0067451B">
      <w:pPr>
        <w:pStyle w:val="Heading3"/>
      </w:pPr>
      <w:bookmarkStart w:id="110" w:name="_Toc185407828"/>
      <w:bookmarkStart w:id="111" w:name="_Toc209932990"/>
      <w:bookmarkStart w:id="112" w:name="_Toc210026927"/>
      <w:bookmarkStart w:id="113" w:name="_Toc289083963"/>
      <w:bookmarkStart w:id="114" w:name="_Toc469577173"/>
      <w:r w:rsidRPr="00857043">
        <w:t>3.1.3</w:t>
      </w:r>
      <w:r w:rsidRPr="00857043">
        <w:tab/>
        <w:t>Transport where no fuel data is available (based on distance travelled)</w:t>
      </w:r>
      <w:bookmarkEnd w:id="110"/>
      <w:bookmarkEnd w:id="111"/>
      <w:bookmarkEnd w:id="112"/>
      <w:bookmarkEnd w:id="113"/>
      <w:bookmarkEnd w:id="114"/>
    </w:p>
    <w:p w:rsidR="00EC1311" w:rsidRPr="00857043" w:rsidRDefault="009E3385" w:rsidP="0067451B">
      <w:pPr>
        <w:jc w:val="left"/>
      </w:pPr>
      <w:r w:rsidRPr="00857043">
        <w:t>If your records only provide information on kilometres travelled, and you do not have information on fuel</w:t>
      </w:r>
      <w:r w:rsidR="00A241E7">
        <w:t>-</w:t>
      </w:r>
      <w:r w:rsidRPr="00857043">
        <w:t xml:space="preserve">use, the emission factors </w:t>
      </w:r>
      <w:r w:rsidR="000451E8" w:rsidRPr="00857043">
        <w:t xml:space="preserve">based on distance travelled shown in </w:t>
      </w:r>
      <w:r w:rsidR="00EB1450" w:rsidRPr="00857043">
        <w:t>table</w:t>
      </w:r>
      <w:r w:rsidRPr="00857043">
        <w:t xml:space="preserve"> 3 can be used to calculate emissions from transport. </w:t>
      </w:r>
      <w:r w:rsidR="00A241E7">
        <w:t>H</w:t>
      </w:r>
      <w:r w:rsidRPr="00857043">
        <w:t>owever, factors such as individual vehicle fuel efficiency and driving efficiency mean that kilometre-based estimates of CO</w:t>
      </w:r>
      <w:r w:rsidRPr="00857043">
        <w:rPr>
          <w:szCs w:val="18"/>
          <w:vertAlign w:val="subscript"/>
        </w:rPr>
        <w:t>2</w:t>
      </w:r>
      <w:r w:rsidRPr="00857043">
        <w:t xml:space="preserve">-e emissions are less accurate than calculating emissions based on fuel-use data. The emission factors in </w:t>
      </w:r>
      <w:r w:rsidR="00EB1450" w:rsidRPr="00857043">
        <w:t>table</w:t>
      </w:r>
      <w:r w:rsidRPr="00857043">
        <w:t xml:space="preserve"> 3</w:t>
      </w:r>
      <w:r w:rsidR="00AB6146" w:rsidRPr="00857043">
        <w:t xml:space="preserve">, </w:t>
      </w:r>
      <w:r w:rsidR="008473EB" w:rsidRPr="00857043">
        <w:t>based on distance travelled</w:t>
      </w:r>
      <w:r w:rsidR="00AB6146" w:rsidRPr="00857043">
        <w:t>,</w:t>
      </w:r>
      <w:r w:rsidRPr="00857043">
        <w:t xml:space="preserve"> should therefore only be used if information on fuel use is not available.</w:t>
      </w:r>
    </w:p>
    <w:p w:rsidR="009E3385" w:rsidRPr="00857043" w:rsidRDefault="009E3385" w:rsidP="00D92897"/>
    <w:p w:rsidR="005B12B6" w:rsidRDefault="005B12B6">
      <w:pPr>
        <w:jc w:val="left"/>
        <w:rPr>
          <w:rFonts w:ascii="Arial" w:hAnsi="Arial"/>
          <w:b/>
          <w:sz w:val="20"/>
        </w:rPr>
      </w:pPr>
      <w:bookmarkStart w:id="115" w:name="_Ref185072848"/>
      <w:bookmarkStart w:id="116" w:name="_Toc210024147"/>
      <w:bookmarkStart w:id="117" w:name="_Toc289084084"/>
      <w:r>
        <w:br w:type="page"/>
      </w:r>
    </w:p>
    <w:p w:rsidR="009E3385" w:rsidRPr="00857043" w:rsidRDefault="009E3385" w:rsidP="005B12B6">
      <w:pPr>
        <w:pStyle w:val="Table"/>
        <w:ind w:left="0" w:firstLine="0"/>
      </w:pPr>
      <w:bookmarkStart w:id="118" w:name="_Toc469577142"/>
      <w:r w:rsidRPr="00857043">
        <w:lastRenderedPageBreak/>
        <w:t xml:space="preserve">Table </w:t>
      </w:r>
      <w:r w:rsidR="00D92897" w:rsidRPr="00857043">
        <w:t>3</w:t>
      </w:r>
      <w:bookmarkEnd w:id="115"/>
      <w:r w:rsidRPr="00857043">
        <w:t>:</w:t>
      </w:r>
      <w:r w:rsidRPr="00857043">
        <w:tab/>
        <w:t>Transport emission factors (based on distance travelled)</w:t>
      </w:r>
      <w:bookmarkEnd w:id="116"/>
      <w:bookmarkEnd w:id="117"/>
      <w:bookmarkEnd w:id="118"/>
    </w:p>
    <w:tbl>
      <w:tblPr>
        <w:tblW w:w="0" w:type="auto"/>
        <w:tblInd w:w="52" w:type="dxa"/>
        <w:tblLayout w:type="fixed"/>
        <w:tblLook w:val="04A0" w:firstRow="1" w:lastRow="0" w:firstColumn="1" w:lastColumn="0" w:noHBand="0" w:noVBand="1"/>
      </w:tblPr>
      <w:tblGrid>
        <w:gridCol w:w="3118"/>
        <w:gridCol w:w="856"/>
        <w:gridCol w:w="996"/>
        <w:gridCol w:w="996"/>
        <w:gridCol w:w="996"/>
        <w:gridCol w:w="996"/>
      </w:tblGrid>
      <w:tr w:rsidR="00F2265F" w:rsidRPr="00194E44" w:rsidTr="006551C6">
        <w:trPr>
          <w:trHeight w:val="1140"/>
        </w:trPr>
        <w:tc>
          <w:tcPr>
            <w:tcW w:w="3118"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194E44" w:rsidRPr="001812C8" w:rsidRDefault="00194E44" w:rsidP="00B6276C">
            <w:pPr>
              <w:spacing w:before="60" w:after="60"/>
              <w:jc w:val="left"/>
              <w:rPr>
                <w:rFonts w:ascii="Arial" w:hAnsi="Arial" w:cs="Arial"/>
                <w:b/>
                <w:sz w:val="16"/>
                <w:szCs w:val="16"/>
                <w:lang w:eastAsia="en-NZ"/>
              </w:rPr>
            </w:pPr>
            <w:r w:rsidRPr="001812C8">
              <w:rPr>
                <w:rFonts w:ascii="Arial" w:hAnsi="Arial" w:cs="Arial"/>
                <w:b/>
                <w:sz w:val="16"/>
                <w:szCs w:val="16"/>
                <w:lang w:eastAsia="en-NZ"/>
              </w:rPr>
              <w:t>Vehicle Class Size *</w:t>
            </w:r>
          </w:p>
        </w:tc>
        <w:tc>
          <w:tcPr>
            <w:tcW w:w="856" w:type="dxa"/>
            <w:tcBorders>
              <w:top w:val="single" w:sz="4" w:space="0" w:color="auto"/>
              <w:left w:val="nil"/>
              <w:bottom w:val="single" w:sz="4" w:space="0" w:color="auto"/>
              <w:right w:val="single" w:sz="4" w:space="0" w:color="auto"/>
            </w:tcBorders>
            <w:shd w:val="clear" w:color="000000" w:fill="C0C0C0"/>
            <w:noWrap/>
            <w:vAlign w:val="center"/>
            <w:hideMark/>
          </w:tcPr>
          <w:p w:rsidR="00194E44" w:rsidRPr="001812C8" w:rsidRDefault="00194E44" w:rsidP="00B6276C">
            <w:pPr>
              <w:spacing w:before="60" w:after="60"/>
              <w:jc w:val="left"/>
              <w:rPr>
                <w:rFonts w:ascii="Arial" w:hAnsi="Arial" w:cs="Arial"/>
                <w:b/>
                <w:sz w:val="16"/>
                <w:szCs w:val="16"/>
                <w:lang w:eastAsia="en-NZ"/>
              </w:rPr>
            </w:pPr>
            <w:r w:rsidRPr="001812C8">
              <w:rPr>
                <w:rFonts w:ascii="Arial" w:hAnsi="Arial" w:cs="Arial"/>
                <w:b/>
                <w:sz w:val="16"/>
                <w:szCs w:val="16"/>
                <w:lang w:eastAsia="en-NZ"/>
              </w:rPr>
              <w:t>Unit</w:t>
            </w:r>
          </w:p>
        </w:tc>
        <w:tc>
          <w:tcPr>
            <w:tcW w:w="996" w:type="dxa"/>
            <w:tcBorders>
              <w:top w:val="single" w:sz="4" w:space="0" w:color="auto"/>
              <w:left w:val="nil"/>
              <w:bottom w:val="single" w:sz="4" w:space="0" w:color="auto"/>
              <w:right w:val="single" w:sz="4" w:space="0" w:color="auto"/>
            </w:tcBorders>
            <w:shd w:val="clear" w:color="000000" w:fill="C0C0C0"/>
            <w:vAlign w:val="center"/>
            <w:hideMark/>
          </w:tcPr>
          <w:p w:rsidR="00194E44" w:rsidRPr="001812C8" w:rsidRDefault="00194E44" w:rsidP="00B6276C">
            <w:pPr>
              <w:spacing w:before="60" w:after="60"/>
              <w:jc w:val="left"/>
              <w:rPr>
                <w:rFonts w:ascii="Arial" w:hAnsi="Arial" w:cs="Arial"/>
                <w:b/>
                <w:sz w:val="16"/>
                <w:szCs w:val="16"/>
                <w:lang w:eastAsia="en-NZ"/>
              </w:rPr>
            </w:pPr>
            <w:r w:rsidRPr="001812C8">
              <w:rPr>
                <w:rFonts w:ascii="Arial" w:hAnsi="Arial" w:cs="Arial"/>
                <w:b/>
                <w:sz w:val="16"/>
                <w:szCs w:val="16"/>
                <w:lang w:eastAsia="en-NZ"/>
              </w:rPr>
              <w:t xml:space="preserve">Emission factor </w:t>
            </w:r>
            <w:r w:rsidRPr="001812C8">
              <w:rPr>
                <w:rFonts w:ascii="Arial" w:hAnsi="Arial" w:cs="Arial"/>
                <w:b/>
                <w:sz w:val="16"/>
                <w:szCs w:val="16"/>
                <w:lang w:eastAsia="en-NZ"/>
              </w:rPr>
              <w:br/>
              <w:t xml:space="preserve"> Total CO</w:t>
            </w:r>
            <w:r w:rsidRPr="001812C8">
              <w:rPr>
                <w:rFonts w:ascii="Arial" w:hAnsi="Arial" w:cs="Arial"/>
                <w:b/>
                <w:sz w:val="16"/>
                <w:szCs w:val="16"/>
                <w:vertAlign w:val="subscript"/>
                <w:lang w:eastAsia="en-NZ"/>
              </w:rPr>
              <w:t>2</w:t>
            </w:r>
            <w:r w:rsidRPr="001812C8">
              <w:rPr>
                <w:rFonts w:ascii="Arial" w:hAnsi="Arial" w:cs="Arial"/>
                <w:b/>
                <w:sz w:val="16"/>
                <w:szCs w:val="16"/>
                <w:lang w:eastAsia="en-NZ"/>
              </w:rPr>
              <w:t>-e</w:t>
            </w:r>
            <w:r w:rsidRPr="001812C8">
              <w:rPr>
                <w:rFonts w:ascii="Arial" w:hAnsi="Arial" w:cs="Arial"/>
                <w:b/>
                <w:sz w:val="16"/>
                <w:szCs w:val="16"/>
                <w:lang w:eastAsia="en-NZ"/>
              </w:rPr>
              <w:br/>
              <w:t>(kg CO</w:t>
            </w:r>
            <w:r w:rsidRPr="001812C8">
              <w:rPr>
                <w:rFonts w:ascii="Arial" w:hAnsi="Arial" w:cs="Arial"/>
                <w:b/>
                <w:sz w:val="16"/>
                <w:szCs w:val="16"/>
                <w:vertAlign w:val="subscript"/>
                <w:lang w:eastAsia="en-NZ"/>
              </w:rPr>
              <w:t>2</w:t>
            </w:r>
            <w:r w:rsidRPr="001812C8">
              <w:rPr>
                <w:rFonts w:ascii="Arial" w:hAnsi="Arial" w:cs="Arial"/>
                <w:b/>
                <w:sz w:val="16"/>
                <w:szCs w:val="16"/>
                <w:lang w:eastAsia="en-NZ"/>
              </w:rPr>
              <w:t xml:space="preserve">-e/unit) </w:t>
            </w:r>
          </w:p>
        </w:tc>
        <w:tc>
          <w:tcPr>
            <w:tcW w:w="996" w:type="dxa"/>
            <w:tcBorders>
              <w:top w:val="single" w:sz="4" w:space="0" w:color="auto"/>
              <w:left w:val="nil"/>
              <w:bottom w:val="single" w:sz="4" w:space="0" w:color="auto"/>
              <w:right w:val="single" w:sz="4" w:space="0" w:color="auto"/>
            </w:tcBorders>
            <w:shd w:val="clear" w:color="000000" w:fill="C0C0C0"/>
            <w:vAlign w:val="center"/>
            <w:hideMark/>
          </w:tcPr>
          <w:p w:rsidR="00194E44" w:rsidRPr="001812C8" w:rsidRDefault="00194E44" w:rsidP="00B6276C">
            <w:pPr>
              <w:spacing w:before="60" w:after="60"/>
              <w:jc w:val="left"/>
              <w:rPr>
                <w:rFonts w:ascii="Arial" w:hAnsi="Arial" w:cs="Arial"/>
                <w:b/>
                <w:sz w:val="16"/>
                <w:szCs w:val="16"/>
                <w:lang w:eastAsia="en-NZ"/>
              </w:rPr>
            </w:pPr>
            <w:r w:rsidRPr="001812C8">
              <w:rPr>
                <w:rFonts w:ascii="Arial" w:hAnsi="Arial" w:cs="Arial"/>
                <w:b/>
                <w:sz w:val="16"/>
                <w:szCs w:val="16"/>
                <w:lang w:eastAsia="en-NZ"/>
              </w:rPr>
              <w:t>Emission factor</w:t>
            </w:r>
            <w:r w:rsidRPr="001812C8">
              <w:rPr>
                <w:rFonts w:ascii="Arial" w:hAnsi="Arial" w:cs="Arial"/>
                <w:b/>
                <w:sz w:val="16"/>
                <w:szCs w:val="16"/>
                <w:lang w:eastAsia="en-NZ"/>
              </w:rPr>
              <w:br/>
              <w:t xml:space="preserve">      CO</w:t>
            </w:r>
            <w:r w:rsidRPr="001812C8">
              <w:rPr>
                <w:rFonts w:ascii="Arial" w:hAnsi="Arial" w:cs="Arial"/>
                <w:b/>
                <w:sz w:val="16"/>
                <w:szCs w:val="16"/>
                <w:vertAlign w:val="subscript"/>
                <w:lang w:eastAsia="en-NZ"/>
              </w:rPr>
              <w:t>2</w:t>
            </w:r>
            <w:r w:rsidRPr="001812C8">
              <w:rPr>
                <w:rFonts w:ascii="Arial" w:hAnsi="Arial" w:cs="Arial"/>
                <w:b/>
                <w:sz w:val="16"/>
                <w:szCs w:val="16"/>
                <w:lang w:eastAsia="en-NZ"/>
              </w:rPr>
              <w:br/>
              <w:t>(kg CO</w:t>
            </w:r>
            <w:r w:rsidRPr="001812C8">
              <w:rPr>
                <w:rFonts w:ascii="Arial" w:hAnsi="Arial" w:cs="Arial"/>
                <w:b/>
                <w:sz w:val="16"/>
                <w:szCs w:val="16"/>
                <w:vertAlign w:val="subscript"/>
                <w:lang w:eastAsia="en-NZ"/>
              </w:rPr>
              <w:t>2</w:t>
            </w:r>
            <w:r w:rsidRPr="001812C8">
              <w:rPr>
                <w:rFonts w:ascii="Arial" w:hAnsi="Arial" w:cs="Arial"/>
                <w:b/>
                <w:sz w:val="16"/>
                <w:szCs w:val="16"/>
                <w:lang w:eastAsia="en-NZ"/>
              </w:rPr>
              <w:t xml:space="preserve">/unit) </w:t>
            </w:r>
          </w:p>
        </w:tc>
        <w:tc>
          <w:tcPr>
            <w:tcW w:w="996" w:type="dxa"/>
            <w:tcBorders>
              <w:top w:val="single" w:sz="4" w:space="0" w:color="auto"/>
              <w:left w:val="nil"/>
              <w:bottom w:val="single" w:sz="4" w:space="0" w:color="auto"/>
              <w:right w:val="single" w:sz="4" w:space="0" w:color="auto"/>
            </w:tcBorders>
            <w:shd w:val="clear" w:color="000000" w:fill="C0C0C0"/>
            <w:vAlign w:val="center"/>
            <w:hideMark/>
          </w:tcPr>
          <w:p w:rsidR="00194E44" w:rsidRPr="001812C8" w:rsidRDefault="00194E44" w:rsidP="00B6276C">
            <w:pPr>
              <w:spacing w:before="60" w:after="60"/>
              <w:jc w:val="left"/>
              <w:rPr>
                <w:rFonts w:ascii="Arial" w:hAnsi="Arial" w:cs="Arial"/>
                <w:b/>
                <w:sz w:val="16"/>
                <w:szCs w:val="16"/>
                <w:lang w:eastAsia="en-NZ"/>
              </w:rPr>
            </w:pPr>
            <w:r w:rsidRPr="001812C8">
              <w:rPr>
                <w:rFonts w:ascii="Arial" w:hAnsi="Arial" w:cs="Arial"/>
                <w:b/>
                <w:sz w:val="16"/>
                <w:szCs w:val="16"/>
                <w:lang w:eastAsia="en-NZ"/>
              </w:rPr>
              <w:t>Emission factor</w:t>
            </w:r>
            <w:r w:rsidRPr="001812C8">
              <w:rPr>
                <w:rFonts w:ascii="Arial" w:hAnsi="Arial" w:cs="Arial"/>
                <w:b/>
                <w:sz w:val="16"/>
                <w:szCs w:val="16"/>
                <w:lang w:eastAsia="en-NZ"/>
              </w:rPr>
              <w:br/>
              <w:t xml:space="preserve">      CH</w:t>
            </w:r>
            <w:r w:rsidRPr="001812C8">
              <w:rPr>
                <w:rFonts w:ascii="Arial" w:hAnsi="Arial" w:cs="Arial"/>
                <w:b/>
                <w:sz w:val="16"/>
                <w:szCs w:val="16"/>
                <w:vertAlign w:val="subscript"/>
                <w:lang w:eastAsia="en-NZ"/>
              </w:rPr>
              <w:t>4</w:t>
            </w:r>
            <w:r w:rsidRPr="001812C8">
              <w:rPr>
                <w:rFonts w:ascii="Arial" w:hAnsi="Arial" w:cs="Arial"/>
                <w:b/>
                <w:sz w:val="16"/>
                <w:szCs w:val="16"/>
                <w:lang w:eastAsia="en-NZ"/>
              </w:rPr>
              <w:br/>
              <w:t>(kg CO</w:t>
            </w:r>
            <w:r w:rsidRPr="001812C8">
              <w:rPr>
                <w:rFonts w:ascii="Arial" w:hAnsi="Arial" w:cs="Arial"/>
                <w:b/>
                <w:sz w:val="16"/>
                <w:szCs w:val="16"/>
                <w:vertAlign w:val="subscript"/>
                <w:lang w:eastAsia="en-NZ"/>
              </w:rPr>
              <w:t>2</w:t>
            </w:r>
            <w:r w:rsidRPr="001812C8">
              <w:rPr>
                <w:rFonts w:ascii="Arial" w:hAnsi="Arial" w:cs="Arial"/>
                <w:b/>
                <w:sz w:val="16"/>
                <w:szCs w:val="16"/>
                <w:lang w:eastAsia="en-NZ"/>
              </w:rPr>
              <w:t xml:space="preserve">-e/unit) </w:t>
            </w:r>
          </w:p>
        </w:tc>
        <w:tc>
          <w:tcPr>
            <w:tcW w:w="996" w:type="dxa"/>
            <w:tcBorders>
              <w:top w:val="single" w:sz="4" w:space="0" w:color="auto"/>
              <w:left w:val="nil"/>
              <w:bottom w:val="single" w:sz="4" w:space="0" w:color="auto"/>
              <w:right w:val="single" w:sz="4" w:space="0" w:color="auto"/>
            </w:tcBorders>
            <w:shd w:val="clear" w:color="000000" w:fill="C0C0C0"/>
            <w:vAlign w:val="center"/>
            <w:hideMark/>
          </w:tcPr>
          <w:p w:rsidR="00194E44" w:rsidRPr="001812C8" w:rsidRDefault="00194E44" w:rsidP="00B6276C">
            <w:pPr>
              <w:spacing w:before="60" w:after="60"/>
              <w:jc w:val="left"/>
              <w:rPr>
                <w:rFonts w:ascii="Arial" w:hAnsi="Arial" w:cs="Arial"/>
                <w:b/>
                <w:sz w:val="16"/>
                <w:szCs w:val="16"/>
                <w:lang w:eastAsia="en-NZ"/>
              </w:rPr>
            </w:pPr>
            <w:r w:rsidRPr="001812C8">
              <w:rPr>
                <w:rFonts w:ascii="Arial" w:hAnsi="Arial" w:cs="Arial"/>
                <w:b/>
                <w:sz w:val="16"/>
                <w:szCs w:val="16"/>
                <w:lang w:eastAsia="en-NZ"/>
              </w:rPr>
              <w:t>Emission factor</w:t>
            </w:r>
            <w:r w:rsidRPr="001812C8">
              <w:rPr>
                <w:rFonts w:ascii="Arial" w:hAnsi="Arial" w:cs="Arial"/>
                <w:b/>
                <w:sz w:val="16"/>
                <w:szCs w:val="16"/>
                <w:lang w:eastAsia="en-NZ"/>
              </w:rPr>
              <w:br/>
              <w:t xml:space="preserve">      N</w:t>
            </w:r>
            <w:r w:rsidRPr="001812C8">
              <w:rPr>
                <w:rFonts w:ascii="Arial" w:hAnsi="Arial" w:cs="Arial"/>
                <w:b/>
                <w:sz w:val="16"/>
                <w:szCs w:val="16"/>
                <w:vertAlign w:val="subscript"/>
                <w:lang w:eastAsia="en-NZ"/>
              </w:rPr>
              <w:t>2</w:t>
            </w:r>
            <w:r w:rsidRPr="001812C8">
              <w:rPr>
                <w:rFonts w:ascii="Arial" w:hAnsi="Arial" w:cs="Arial"/>
                <w:b/>
                <w:sz w:val="16"/>
                <w:szCs w:val="16"/>
                <w:lang w:eastAsia="en-NZ"/>
              </w:rPr>
              <w:t>O</w:t>
            </w:r>
            <w:r w:rsidRPr="001812C8">
              <w:rPr>
                <w:rFonts w:ascii="Arial" w:hAnsi="Arial" w:cs="Arial"/>
                <w:b/>
                <w:sz w:val="16"/>
                <w:szCs w:val="16"/>
                <w:lang w:eastAsia="en-NZ"/>
              </w:rPr>
              <w:br/>
              <w:t>(kg CO</w:t>
            </w:r>
            <w:r w:rsidRPr="001812C8">
              <w:rPr>
                <w:rFonts w:ascii="Arial" w:hAnsi="Arial" w:cs="Arial"/>
                <w:b/>
                <w:sz w:val="16"/>
                <w:szCs w:val="16"/>
                <w:vertAlign w:val="subscript"/>
                <w:lang w:eastAsia="en-NZ"/>
              </w:rPr>
              <w:t>2</w:t>
            </w:r>
            <w:r w:rsidRPr="001812C8">
              <w:rPr>
                <w:rFonts w:ascii="Arial" w:hAnsi="Arial" w:cs="Arial"/>
                <w:b/>
                <w:sz w:val="16"/>
                <w:szCs w:val="16"/>
                <w:lang w:eastAsia="en-NZ"/>
              </w:rPr>
              <w:t xml:space="preserve">-e/unit) </w:t>
            </w:r>
          </w:p>
        </w:tc>
      </w:tr>
      <w:tr w:rsidR="00F2265F" w:rsidRPr="00194E44" w:rsidTr="006551C6">
        <w:trPr>
          <w:trHeight w:val="255"/>
        </w:trPr>
        <w:tc>
          <w:tcPr>
            <w:tcW w:w="3118" w:type="dxa"/>
            <w:tcBorders>
              <w:top w:val="nil"/>
              <w:left w:val="single" w:sz="4" w:space="0" w:color="auto"/>
              <w:bottom w:val="single" w:sz="4" w:space="0" w:color="auto"/>
              <w:right w:val="single" w:sz="4" w:space="0" w:color="auto"/>
            </w:tcBorders>
            <w:shd w:val="clear" w:color="auto" w:fill="auto"/>
            <w:noWrap/>
            <w:vAlign w:val="bottom"/>
            <w:hideMark/>
          </w:tcPr>
          <w:p w:rsidR="00194E44" w:rsidRPr="006551C6" w:rsidRDefault="00194E44" w:rsidP="00B6276C">
            <w:pPr>
              <w:spacing w:before="60" w:after="60"/>
              <w:jc w:val="left"/>
              <w:rPr>
                <w:rFonts w:ascii="Arial" w:hAnsi="Arial" w:cs="Arial"/>
                <w:sz w:val="16"/>
                <w:szCs w:val="16"/>
                <w:lang w:eastAsia="en-NZ"/>
              </w:rPr>
            </w:pPr>
            <w:r w:rsidRPr="006551C6">
              <w:rPr>
                <w:rFonts w:ascii="Arial" w:hAnsi="Arial" w:cs="Arial"/>
                <w:sz w:val="16"/>
                <w:szCs w:val="16"/>
                <w:lang w:eastAsia="en-NZ"/>
              </w:rPr>
              <w:t>Car - (&lt;1350 cc)</w:t>
            </w:r>
          </w:p>
        </w:tc>
        <w:tc>
          <w:tcPr>
            <w:tcW w:w="856" w:type="dxa"/>
            <w:tcBorders>
              <w:top w:val="nil"/>
              <w:left w:val="nil"/>
              <w:bottom w:val="single" w:sz="4" w:space="0" w:color="auto"/>
              <w:right w:val="single" w:sz="4" w:space="0" w:color="auto"/>
            </w:tcBorders>
            <w:shd w:val="clear" w:color="auto" w:fill="auto"/>
            <w:noWrap/>
            <w:vAlign w:val="bottom"/>
            <w:hideMark/>
          </w:tcPr>
          <w:p w:rsidR="00194E44" w:rsidRPr="006551C6" w:rsidRDefault="00194E44" w:rsidP="00B6276C">
            <w:pPr>
              <w:spacing w:before="60" w:after="60"/>
              <w:jc w:val="left"/>
              <w:rPr>
                <w:rFonts w:ascii="Arial" w:hAnsi="Arial" w:cs="Arial"/>
                <w:sz w:val="16"/>
                <w:szCs w:val="16"/>
                <w:lang w:eastAsia="en-NZ"/>
              </w:rPr>
            </w:pPr>
            <w:r w:rsidRPr="006551C6">
              <w:rPr>
                <w:rFonts w:ascii="Arial" w:hAnsi="Arial" w:cs="Arial"/>
                <w:sz w:val="16"/>
                <w:szCs w:val="16"/>
                <w:lang w:eastAsia="en-NZ"/>
              </w:rPr>
              <w:t>Km</w:t>
            </w:r>
          </w:p>
        </w:tc>
        <w:tc>
          <w:tcPr>
            <w:tcW w:w="996" w:type="dxa"/>
            <w:tcBorders>
              <w:top w:val="nil"/>
              <w:left w:val="nil"/>
              <w:bottom w:val="single" w:sz="4" w:space="0" w:color="auto"/>
              <w:right w:val="single" w:sz="4" w:space="0" w:color="auto"/>
            </w:tcBorders>
            <w:shd w:val="clear" w:color="auto" w:fill="auto"/>
            <w:noWrap/>
            <w:vAlign w:val="bottom"/>
            <w:hideMark/>
          </w:tcPr>
          <w:p w:rsidR="00194E44" w:rsidRPr="006551C6" w:rsidRDefault="00194E44" w:rsidP="00B6276C">
            <w:pPr>
              <w:spacing w:before="60" w:after="60"/>
              <w:jc w:val="right"/>
              <w:rPr>
                <w:rFonts w:ascii="Arial" w:hAnsi="Arial" w:cs="Arial"/>
                <w:sz w:val="16"/>
                <w:szCs w:val="16"/>
                <w:lang w:eastAsia="en-NZ"/>
              </w:rPr>
            </w:pPr>
            <w:r w:rsidRPr="006551C6">
              <w:rPr>
                <w:rFonts w:ascii="Arial" w:hAnsi="Arial" w:cs="Arial"/>
                <w:sz w:val="16"/>
                <w:szCs w:val="16"/>
                <w:lang w:eastAsia="en-NZ"/>
              </w:rPr>
              <w:t>0.198</w:t>
            </w:r>
          </w:p>
        </w:tc>
        <w:tc>
          <w:tcPr>
            <w:tcW w:w="996" w:type="dxa"/>
            <w:tcBorders>
              <w:top w:val="nil"/>
              <w:left w:val="nil"/>
              <w:bottom w:val="single" w:sz="4" w:space="0" w:color="auto"/>
              <w:right w:val="single" w:sz="4" w:space="0" w:color="auto"/>
            </w:tcBorders>
            <w:shd w:val="clear" w:color="auto" w:fill="auto"/>
            <w:noWrap/>
            <w:vAlign w:val="bottom"/>
            <w:hideMark/>
          </w:tcPr>
          <w:p w:rsidR="00194E44" w:rsidRPr="006551C6" w:rsidRDefault="00194E44" w:rsidP="00B6276C">
            <w:pPr>
              <w:spacing w:before="60" w:after="60"/>
              <w:jc w:val="right"/>
              <w:rPr>
                <w:rFonts w:ascii="Arial" w:hAnsi="Arial" w:cs="Arial"/>
                <w:sz w:val="16"/>
                <w:szCs w:val="16"/>
                <w:lang w:eastAsia="en-NZ"/>
              </w:rPr>
            </w:pPr>
            <w:r w:rsidRPr="006551C6">
              <w:rPr>
                <w:rFonts w:ascii="Arial" w:hAnsi="Arial" w:cs="Arial"/>
                <w:sz w:val="16"/>
                <w:szCs w:val="16"/>
                <w:lang w:eastAsia="en-NZ"/>
              </w:rPr>
              <w:t>0.190</w:t>
            </w:r>
          </w:p>
        </w:tc>
        <w:tc>
          <w:tcPr>
            <w:tcW w:w="996" w:type="dxa"/>
            <w:tcBorders>
              <w:top w:val="nil"/>
              <w:left w:val="nil"/>
              <w:bottom w:val="single" w:sz="4" w:space="0" w:color="auto"/>
              <w:right w:val="single" w:sz="4" w:space="0" w:color="auto"/>
            </w:tcBorders>
            <w:shd w:val="clear" w:color="auto" w:fill="auto"/>
            <w:noWrap/>
            <w:vAlign w:val="bottom"/>
            <w:hideMark/>
          </w:tcPr>
          <w:p w:rsidR="00194E44" w:rsidRPr="006551C6" w:rsidRDefault="00194E44" w:rsidP="00B6276C">
            <w:pPr>
              <w:spacing w:before="60" w:after="60"/>
              <w:jc w:val="right"/>
              <w:rPr>
                <w:rFonts w:ascii="Arial" w:hAnsi="Arial" w:cs="Arial"/>
                <w:sz w:val="16"/>
                <w:szCs w:val="16"/>
                <w:lang w:eastAsia="en-NZ"/>
              </w:rPr>
            </w:pPr>
            <w:r w:rsidRPr="006551C6">
              <w:rPr>
                <w:rFonts w:ascii="Arial" w:hAnsi="Arial" w:cs="Arial"/>
                <w:sz w:val="16"/>
                <w:szCs w:val="16"/>
                <w:lang w:eastAsia="en-NZ"/>
              </w:rPr>
              <w:t>0.00200</w:t>
            </w:r>
          </w:p>
        </w:tc>
        <w:tc>
          <w:tcPr>
            <w:tcW w:w="996" w:type="dxa"/>
            <w:tcBorders>
              <w:top w:val="nil"/>
              <w:left w:val="nil"/>
              <w:bottom w:val="single" w:sz="4" w:space="0" w:color="auto"/>
              <w:right w:val="single" w:sz="4" w:space="0" w:color="auto"/>
            </w:tcBorders>
            <w:shd w:val="clear" w:color="auto" w:fill="auto"/>
            <w:noWrap/>
            <w:vAlign w:val="bottom"/>
            <w:hideMark/>
          </w:tcPr>
          <w:p w:rsidR="00194E44" w:rsidRPr="006551C6" w:rsidRDefault="00194E44" w:rsidP="00B6276C">
            <w:pPr>
              <w:spacing w:before="60" w:after="60"/>
              <w:jc w:val="right"/>
              <w:rPr>
                <w:rFonts w:ascii="Arial" w:hAnsi="Arial" w:cs="Arial"/>
                <w:sz w:val="16"/>
                <w:szCs w:val="16"/>
                <w:lang w:eastAsia="en-NZ"/>
              </w:rPr>
            </w:pPr>
            <w:r w:rsidRPr="006551C6">
              <w:rPr>
                <w:rFonts w:ascii="Arial" w:hAnsi="Arial" w:cs="Arial"/>
                <w:sz w:val="16"/>
                <w:szCs w:val="16"/>
                <w:lang w:eastAsia="en-NZ"/>
              </w:rPr>
              <w:t>0.00647</w:t>
            </w:r>
          </w:p>
        </w:tc>
      </w:tr>
      <w:tr w:rsidR="00F2265F" w:rsidRPr="00194E44" w:rsidTr="006551C6">
        <w:trPr>
          <w:trHeight w:val="255"/>
        </w:trPr>
        <w:tc>
          <w:tcPr>
            <w:tcW w:w="3118" w:type="dxa"/>
            <w:tcBorders>
              <w:top w:val="nil"/>
              <w:left w:val="single" w:sz="4" w:space="0" w:color="auto"/>
              <w:bottom w:val="single" w:sz="4" w:space="0" w:color="auto"/>
              <w:right w:val="single" w:sz="4" w:space="0" w:color="auto"/>
            </w:tcBorders>
            <w:shd w:val="clear" w:color="auto" w:fill="auto"/>
            <w:noWrap/>
            <w:vAlign w:val="bottom"/>
            <w:hideMark/>
          </w:tcPr>
          <w:p w:rsidR="00194E44" w:rsidRPr="006551C6" w:rsidRDefault="00194E44" w:rsidP="00B6276C">
            <w:pPr>
              <w:spacing w:before="60" w:after="60"/>
              <w:jc w:val="left"/>
              <w:rPr>
                <w:rFonts w:ascii="Arial" w:hAnsi="Arial" w:cs="Arial"/>
                <w:sz w:val="16"/>
                <w:szCs w:val="16"/>
                <w:lang w:eastAsia="en-NZ"/>
              </w:rPr>
            </w:pPr>
            <w:r w:rsidRPr="006551C6">
              <w:rPr>
                <w:rFonts w:ascii="Arial" w:hAnsi="Arial" w:cs="Arial"/>
                <w:sz w:val="16"/>
                <w:szCs w:val="16"/>
                <w:lang w:eastAsia="en-NZ"/>
              </w:rPr>
              <w:t>Car - (1350 - &lt;1600 cc)</w:t>
            </w:r>
          </w:p>
        </w:tc>
        <w:tc>
          <w:tcPr>
            <w:tcW w:w="856" w:type="dxa"/>
            <w:tcBorders>
              <w:top w:val="nil"/>
              <w:left w:val="nil"/>
              <w:bottom w:val="single" w:sz="4" w:space="0" w:color="auto"/>
              <w:right w:val="single" w:sz="4" w:space="0" w:color="auto"/>
            </w:tcBorders>
            <w:shd w:val="clear" w:color="auto" w:fill="auto"/>
            <w:noWrap/>
            <w:vAlign w:val="bottom"/>
            <w:hideMark/>
          </w:tcPr>
          <w:p w:rsidR="00194E44" w:rsidRPr="006551C6" w:rsidRDefault="00194E44" w:rsidP="00B6276C">
            <w:pPr>
              <w:spacing w:before="60" w:after="60"/>
              <w:jc w:val="left"/>
              <w:rPr>
                <w:rFonts w:ascii="Arial" w:hAnsi="Arial" w:cs="Arial"/>
                <w:sz w:val="16"/>
                <w:szCs w:val="16"/>
                <w:lang w:eastAsia="en-NZ"/>
              </w:rPr>
            </w:pPr>
            <w:r w:rsidRPr="006551C6">
              <w:rPr>
                <w:rFonts w:ascii="Arial" w:hAnsi="Arial" w:cs="Arial"/>
                <w:sz w:val="16"/>
                <w:szCs w:val="16"/>
                <w:lang w:eastAsia="en-NZ"/>
              </w:rPr>
              <w:t>Km</w:t>
            </w:r>
          </w:p>
        </w:tc>
        <w:tc>
          <w:tcPr>
            <w:tcW w:w="996" w:type="dxa"/>
            <w:tcBorders>
              <w:top w:val="nil"/>
              <w:left w:val="nil"/>
              <w:bottom w:val="single" w:sz="4" w:space="0" w:color="auto"/>
              <w:right w:val="single" w:sz="4" w:space="0" w:color="auto"/>
            </w:tcBorders>
            <w:shd w:val="clear" w:color="auto" w:fill="auto"/>
            <w:noWrap/>
            <w:vAlign w:val="bottom"/>
            <w:hideMark/>
          </w:tcPr>
          <w:p w:rsidR="00194E44" w:rsidRPr="006551C6" w:rsidRDefault="00194E44" w:rsidP="00B6276C">
            <w:pPr>
              <w:spacing w:before="60" w:after="60"/>
              <w:jc w:val="right"/>
              <w:rPr>
                <w:rFonts w:ascii="Arial" w:hAnsi="Arial" w:cs="Arial"/>
                <w:sz w:val="16"/>
                <w:szCs w:val="16"/>
                <w:lang w:eastAsia="en-NZ"/>
              </w:rPr>
            </w:pPr>
            <w:r w:rsidRPr="006551C6">
              <w:rPr>
                <w:rFonts w:ascii="Arial" w:hAnsi="Arial" w:cs="Arial"/>
                <w:sz w:val="16"/>
                <w:szCs w:val="16"/>
                <w:lang w:eastAsia="en-NZ"/>
              </w:rPr>
              <w:t>0.190</w:t>
            </w:r>
          </w:p>
        </w:tc>
        <w:tc>
          <w:tcPr>
            <w:tcW w:w="996" w:type="dxa"/>
            <w:tcBorders>
              <w:top w:val="nil"/>
              <w:left w:val="nil"/>
              <w:bottom w:val="single" w:sz="4" w:space="0" w:color="auto"/>
              <w:right w:val="single" w:sz="4" w:space="0" w:color="auto"/>
            </w:tcBorders>
            <w:shd w:val="clear" w:color="auto" w:fill="auto"/>
            <w:noWrap/>
            <w:vAlign w:val="bottom"/>
            <w:hideMark/>
          </w:tcPr>
          <w:p w:rsidR="00194E44" w:rsidRPr="006551C6" w:rsidRDefault="00194E44" w:rsidP="00B6276C">
            <w:pPr>
              <w:spacing w:before="60" w:after="60"/>
              <w:jc w:val="right"/>
              <w:rPr>
                <w:rFonts w:ascii="Arial" w:hAnsi="Arial" w:cs="Arial"/>
                <w:sz w:val="16"/>
                <w:szCs w:val="16"/>
                <w:lang w:eastAsia="en-NZ"/>
              </w:rPr>
            </w:pPr>
            <w:r w:rsidRPr="006551C6">
              <w:rPr>
                <w:rFonts w:ascii="Arial" w:hAnsi="Arial" w:cs="Arial"/>
                <w:sz w:val="16"/>
                <w:szCs w:val="16"/>
                <w:lang w:eastAsia="en-NZ"/>
              </w:rPr>
              <w:t>0.182</w:t>
            </w:r>
          </w:p>
        </w:tc>
        <w:tc>
          <w:tcPr>
            <w:tcW w:w="996" w:type="dxa"/>
            <w:tcBorders>
              <w:top w:val="nil"/>
              <w:left w:val="nil"/>
              <w:bottom w:val="single" w:sz="4" w:space="0" w:color="auto"/>
              <w:right w:val="single" w:sz="4" w:space="0" w:color="auto"/>
            </w:tcBorders>
            <w:shd w:val="clear" w:color="auto" w:fill="auto"/>
            <w:noWrap/>
            <w:vAlign w:val="bottom"/>
            <w:hideMark/>
          </w:tcPr>
          <w:p w:rsidR="00194E44" w:rsidRPr="006551C6" w:rsidRDefault="00194E44" w:rsidP="00B6276C">
            <w:pPr>
              <w:spacing w:before="60" w:after="60"/>
              <w:jc w:val="right"/>
              <w:rPr>
                <w:rFonts w:ascii="Arial" w:hAnsi="Arial" w:cs="Arial"/>
                <w:sz w:val="16"/>
                <w:szCs w:val="16"/>
                <w:lang w:eastAsia="en-NZ"/>
              </w:rPr>
            </w:pPr>
            <w:r w:rsidRPr="006551C6">
              <w:rPr>
                <w:rFonts w:ascii="Arial" w:hAnsi="Arial" w:cs="Arial"/>
                <w:sz w:val="16"/>
                <w:szCs w:val="16"/>
                <w:lang w:eastAsia="en-NZ"/>
              </w:rPr>
              <w:t>0.00192</w:t>
            </w:r>
          </w:p>
        </w:tc>
        <w:tc>
          <w:tcPr>
            <w:tcW w:w="996" w:type="dxa"/>
            <w:tcBorders>
              <w:top w:val="nil"/>
              <w:left w:val="nil"/>
              <w:bottom w:val="single" w:sz="4" w:space="0" w:color="auto"/>
              <w:right w:val="single" w:sz="4" w:space="0" w:color="auto"/>
            </w:tcBorders>
            <w:shd w:val="clear" w:color="auto" w:fill="auto"/>
            <w:noWrap/>
            <w:vAlign w:val="bottom"/>
            <w:hideMark/>
          </w:tcPr>
          <w:p w:rsidR="00194E44" w:rsidRPr="006551C6" w:rsidRDefault="00194E44" w:rsidP="00B6276C">
            <w:pPr>
              <w:spacing w:before="60" w:after="60"/>
              <w:jc w:val="right"/>
              <w:rPr>
                <w:rFonts w:ascii="Arial" w:hAnsi="Arial" w:cs="Arial"/>
                <w:sz w:val="16"/>
                <w:szCs w:val="16"/>
                <w:lang w:eastAsia="en-NZ"/>
              </w:rPr>
            </w:pPr>
            <w:r w:rsidRPr="006551C6">
              <w:rPr>
                <w:rFonts w:ascii="Arial" w:hAnsi="Arial" w:cs="Arial"/>
                <w:sz w:val="16"/>
                <w:szCs w:val="16"/>
                <w:lang w:eastAsia="en-NZ"/>
              </w:rPr>
              <w:t>0.00620</w:t>
            </w:r>
          </w:p>
        </w:tc>
      </w:tr>
      <w:tr w:rsidR="00F2265F" w:rsidRPr="00194E44" w:rsidTr="006551C6">
        <w:trPr>
          <w:trHeight w:val="255"/>
        </w:trPr>
        <w:tc>
          <w:tcPr>
            <w:tcW w:w="3118" w:type="dxa"/>
            <w:tcBorders>
              <w:top w:val="nil"/>
              <w:left w:val="single" w:sz="4" w:space="0" w:color="auto"/>
              <w:bottom w:val="single" w:sz="4" w:space="0" w:color="auto"/>
              <w:right w:val="single" w:sz="4" w:space="0" w:color="auto"/>
            </w:tcBorders>
            <w:shd w:val="clear" w:color="auto" w:fill="auto"/>
            <w:noWrap/>
            <w:vAlign w:val="bottom"/>
            <w:hideMark/>
          </w:tcPr>
          <w:p w:rsidR="00194E44" w:rsidRPr="006551C6" w:rsidRDefault="00194E44" w:rsidP="00B6276C">
            <w:pPr>
              <w:spacing w:before="60" w:after="60"/>
              <w:jc w:val="left"/>
              <w:rPr>
                <w:rFonts w:ascii="Arial" w:hAnsi="Arial" w:cs="Arial"/>
                <w:sz w:val="16"/>
                <w:szCs w:val="16"/>
                <w:lang w:eastAsia="en-NZ"/>
              </w:rPr>
            </w:pPr>
            <w:r w:rsidRPr="006551C6">
              <w:rPr>
                <w:rFonts w:ascii="Arial" w:hAnsi="Arial" w:cs="Arial"/>
                <w:sz w:val="16"/>
                <w:szCs w:val="16"/>
                <w:lang w:eastAsia="en-NZ"/>
              </w:rPr>
              <w:t>Car -  (1600 - &lt;2000 cc)</w:t>
            </w:r>
          </w:p>
        </w:tc>
        <w:tc>
          <w:tcPr>
            <w:tcW w:w="856" w:type="dxa"/>
            <w:tcBorders>
              <w:top w:val="nil"/>
              <w:left w:val="nil"/>
              <w:bottom w:val="single" w:sz="4" w:space="0" w:color="auto"/>
              <w:right w:val="single" w:sz="4" w:space="0" w:color="auto"/>
            </w:tcBorders>
            <w:shd w:val="clear" w:color="auto" w:fill="auto"/>
            <w:noWrap/>
            <w:vAlign w:val="bottom"/>
            <w:hideMark/>
          </w:tcPr>
          <w:p w:rsidR="00194E44" w:rsidRPr="006551C6" w:rsidRDefault="00194E44" w:rsidP="00B6276C">
            <w:pPr>
              <w:spacing w:before="60" w:after="60"/>
              <w:jc w:val="left"/>
              <w:rPr>
                <w:rFonts w:ascii="Arial" w:hAnsi="Arial" w:cs="Arial"/>
                <w:sz w:val="16"/>
                <w:szCs w:val="16"/>
                <w:lang w:eastAsia="en-NZ"/>
              </w:rPr>
            </w:pPr>
            <w:r w:rsidRPr="006551C6">
              <w:rPr>
                <w:rFonts w:ascii="Arial" w:hAnsi="Arial" w:cs="Arial"/>
                <w:sz w:val="16"/>
                <w:szCs w:val="16"/>
                <w:lang w:eastAsia="en-NZ"/>
              </w:rPr>
              <w:t>Km</w:t>
            </w:r>
          </w:p>
        </w:tc>
        <w:tc>
          <w:tcPr>
            <w:tcW w:w="996" w:type="dxa"/>
            <w:tcBorders>
              <w:top w:val="nil"/>
              <w:left w:val="nil"/>
              <w:bottom w:val="single" w:sz="4" w:space="0" w:color="auto"/>
              <w:right w:val="single" w:sz="4" w:space="0" w:color="auto"/>
            </w:tcBorders>
            <w:shd w:val="clear" w:color="auto" w:fill="auto"/>
            <w:noWrap/>
            <w:vAlign w:val="bottom"/>
            <w:hideMark/>
          </w:tcPr>
          <w:p w:rsidR="00194E44" w:rsidRPr="006551C6" w:rsidRDefault="00194E44" w:rsidP="00B6276C">
            <w:pPr>
              <w:spacing w:before="60" w:after="60"/>
              <w:jc w:val="right"/>
              <w:rPr>
                <w:rFonts w:ascii="Arial" w:hAnsi="Arial" w:cs="Arial"/>
                <w:sz w:val="16"/>
                <w:szCs w:val="16"/>
                <w:lang w:eastAsia="en-NZ"/>
              </w:rPr>
            </w:pPr>
            <w:r w:rsidRPr="006551C6">
              <w:rPr>
                <w:rFonts w:ascii="Arial" w:hAnsi="Arial" w:cs="Arial"/>
                <w:sz w:val="16"/>
                <w:szCs w:val="16"/>
                <w:lang w:eastAsia="en-NZ"/>
              </w:rPr>
              <w:t>0.209</w:t>
            </w:r>
          </w:p>
        </w:tc>
        <w:tc>
          <w:tcPr>
            <w:tcW w:w="996" w:type="dxa"/>
            <w:tcBorders>
              <w:top w:val="nil"/>
              <w:left w:val="nil"/>
              <w:bottom w:val="single" w:sz="4" w:space="0" w:color="auto"/>
              <w:right w:val="single" w:sz="4" w:space="0" w:color="auto"/>
            </w:tcBorders>
            <w:shd w:val="clear" w:color="auto" w:fill="auto"/>
            <w:noWrap/>
            <w:vAlign w:val="bottom"/>
            <w:hideMark/>
          </w:tcPr>
          <w:p w:rsidR="00194E44" w:rsidRPr="006551C6" w:rsidRDefault="00194E44" w:rsidP="00B6276C">
            <w:pPr>
              <w:spacing w:before="60" w:after="60"/>
              <w:jc w:val="right"/>
              <w:rPr>
                <w:rFonts w:ascii="Arial" w:hAnsi="Arial" w:cs="Arial"/>
                <w:sz w:val="16"/>
                <w:szCs w:val="16"/>
                <w:lang w:eastAsia="en-NZ"/>
              </w:rPr>
            </w:pPr>
            <w:r w:rsidRPr="006551C6">
              <w:rPr>
                <w:rFonts w:ascii="Arial" w:hAnsi="Arial" w:cs="Arial"/>
                <w:sz w:val="16"/>
                <w:szCs w:val="16"/>
                <w:lang w:eastAsia="en-NZ"/>
              </w:rPr>
              <w:t>0.200</w:t>
            </w:r>
          </w:p>
        </w:tc>
        <w:tc>
          <w:tcPr>
            <w:tcW w:w="996" w:type="dxa"/>
            <w:tcBorders>
              <w:top w:val="nil"/>
              <w:left w:val="nil"/>
              <w:bottom w:val="single" w:sz="4" w:space="0" w:color="auto"/>
              <w:right w:val="single" w:sz="4" w:space="0" w:color="auto"/>
            </w:tcBorders>
            <w:shd w:val="clear" w:color="auto" w:fill="auto"/>
            <w:noWrap/>
            <w:vAlign w:val="bottom"/>
            <w:hideMark/>
          </w:tcPr>
          <w:p w:rsidR="00194E44" w:rsidRPr="006551C6" w:rsidRDefault="00194E44" w:rsidP="00B6276C">
            <w:pPr>
              <w:spacing w:before="60" w:after="60"/>
              <w:jc w:val="right"/>
              <w:rPr>
                <w:rFonts w:ascii="Arial" w:hAnsi="Arial" w:cs="Arial"/>
                <w:sz w:val="16"/>
                <w:szCs w:val="16"/>
                <w:lang w:eastAsia="en-NZ"/>
              </w:rPr>
            </w:pPr>
            <w:r w:rsidRPr="006551C6">
              <w:rPr>
                <w:rFonts w:ascii="Arial" w:hAnsi="Arial" w:cs="Arial"/>
                <w:sz w:val="16"/>
                <w:szCs w:val="16"/>
                <w:lang w:eastAsia="en-NZ"/>
              </w:rPr>
              <w:t>0.00211</w:t>
            </w:r>
          </w:p>
        </w:tc>
        <w:tc>
          <w:tcPr>
            <w:tcW w:w="996" w:type="dxa"/>
            <w:tcBorders>
              <w:top w:val="nil"/>
              <w:left w:val="nil"/>
              <w:bottom w:val="single" w:sz="4" w:space="0" w:color="auto"/>
              <w:right w:val="single" w:sz="4" w:space="0" w:color="auto"/>
            </w:tcBorders>
            <w:shd w:val="clear" w:color="auto" w:fill="auto"/>
            <w:noWrap/>
            <w:vAlign w:val="bottom"/>
            <w:hideMark/>
          </w:tcPr>
          <w:p w:rsidR="00194E44" w:rsidRPr="006551C6" w:rsidRDefault="00194E44" w:rsidP="00B6276C">
            <w:pPr>
              <w:spacing w:before="60" w:after="60"/>
              <w:jc w:val="right"/>
              <w:rPr>
                <w:rFonts w:ascii="Arial" w:hAnsi="Arial" w:cs="Arial"/>
                <w:sz w:val="16"/>
                <w:szCs w:val="16"/>
                <w:lang w:eastAsia="en-NZ"/>
              </w:rPr>
            </w:pPr>
            <w:r w:rsidRPr="006551C6">
              <w:rPr>
                <w:rFonts w:ascii="Arial" w:hAnsi="Arial" w:cs="Arial"/>
                <w:sz w:val="16"/>
                <w:szCs w:val="16"/>
                <w:lang w:eastAsia="en-NZ"/>
              </w:rPr>
              <w:t>0.00681</w:t>
            </w:r>
          </w:p>
        </w:tc>
      </w:tr>
      <w:tr w:rsidR="00F2265F" w:rsidRPr="00194E44" w:rsidTr="006551C6">
        <w:trPr>
          <w:trHeight w:val="255"/>
        </w:trPr>
        <w:tc>
          <w:tcPr>
            <w:tcW w:w="3118" w:type="dxa"/>
            <w:tcBorders>
              <w:top w:val="nil"/>
              <w:left w:val="single" w:sz="4" w:space="0" w:color="auto"/>
              <w:bottom w:val="single" w:sz="4" w:space="0" w:color="auto"/>
              <w:right w:val="single" w:sz="4" w:space="0" w:color="auto"/>
            </w:tcBorders>
            <w:shd w:val="clear" w:color="auto" w:fill="auto"/>
            <w:noWrap/>
            <w:vAlign w:val="bottom"/>
            <w:hideMark/>
          </w:tcPr>
          <w:p w:rsidR="00194E44" w:rsidRPr="006551C6" w:rsidRDefault="00194E44" w:rsidP="00B6276C">
            <w:pPr>
              <w:spacing w:before="60" w:after="60"/>
              <w:jc w:val="left"/>
              <w:rPr>
                <w:rFonts w:ascii="Arial" w:hAnsi="Arial" w:cs="Arial"/>
                <w:sz w:val="16"/>
                <w:szCs w:val="16"/>
                <w:lang w:eastAsia="en-NZ"/>
              </w:rPr>
            </w:pPr>
            <w:r w:rsidRPr="006551C6">
              <w:rPr>
                <w:rFonts w:ascii="Arial" w:hAnsi="Arial" w:cs="Arial"/>
                <w:sz w:val="16"/>
                <w:szCs w:val="16"/>
                <w:lang w:eastAsia="en-NZ"/>
              </w:rPr>
              <w:t>Car -  (2000 - &lt;3000 cc)</w:t>
            </w:r>
          </w:p>
        </w:tc>
        <w:tc>
          <w:tcPr>
            <w:tcW w:w="856" w:type="dxa"/>
            <w:tcBorders>
              <w:top w:val="nil"/>
              <w:left w:val="nil"/>
              <w:bottom w:val="single" w:sz="4" w:space="0" w:color="auto"/>
              <w:right w:val="single" w:sz="4" w:space="0" w:color="auto"/>
            </w:tcBorders>
            <w:shd w:val="clear" w:color="auto" w:fill="auto"/>
            <w:noWrap/>
            <w:vAlign w:val="bottom"/>
            <w:hideMark/>
          </w:tcPr>
          <w:p w:rsidR="00194E44" w:rsidRPr="006551C6" w:rsidRDefault="00194E44" w:rsidP="00B6276C">
            <w:pPr>
              <w:spacing w:before="60" w:after="60"/>
              <w:jc w:val="left"/>
              <w:rPr>
                <w:rFonts w:ascii="Arial" w:hAnsi="Arial" w:cs="Arial"/>
                <w:sz w:val="16"/>
                <w:szCs w:val="16"/>
                <w:lang w:eastAsia="en-NZ"/>
              </w:rPr>
            </w:pPr>
            <w:r w:rsidRPr="006551C6">
              <w:rPr>
                <w:rFonts w:ascii="Arial" w:hAnsi="Arial" w:cs="Arial"/>
                <w:sz w:val="16"/>
                <w:szCs w:val="16"/>
                <w:lang w:eastAsia="en-NZ"/>
              </w:rPr>
              <w:t>Km</w:t>
            </w:r>
          </w:p>
        </w:tc>
        <w:tc>
          <w:tcPr>
            <w:tcW w:w="996" w:type="dxa"/>
            <w:tcBorders>
              <w:top w:val="nil"/>
              <w:left w:val="nil"/>
              <w:bottom w:val="single" w:sz="4" w:space="0" w:color="auto"/>
              <w:right w:val="single" w:sz="4" w:space="0" w:color="auto"/>
            </w:tcBorders>
            <w:shd w:val="clear" w:color="auto" w:fill="auto"/>
            <w:noWrap/>
            <w:vAlign w:val="bottom"/>
            <w:hideMark/>
          </w:tcPr>
          <w:p w:rsidR="00194E44" w:rsidRPr="006551C6" w:rsidRDefault="00194E44" w:rsidP="00B6276C">
            <w:pPr>
              <w:spacing w:before="60" w:after="60"/>
              <w:jc w:val="right"/>
              <w:rPr>
                <w:rFonts w:ascii="Arial" w:hAnsi="Arial" w:cs="Arial"/>
                <w:sz w:val="16"/>
                <w:szCs w:val="16"/>
                <w:lang w:eastAsia="en-NZ"/>
              </w:rPr>
            </w:pPr>
            <w:r w:rsidRPr="006551C6">
              <w:rPr>
                <w:rFonts w:ascii="Arial" w:hAnsi="Arial" w:cs="Arial"/>
                <w:sz w:val="16"/>
                <w:szCs w:val="16"/>
                <w:lang w:eastAsia="en-NZ"/>
              </w:rPr>
              <w:t>0.237</w:t>
            </w:r>
          </w:p>
        </w:tc>
        <w:tc>
          <w:tcPr>
            <w:tcW w:w="996" w:type="dxa"/>
            <w:tcBorders>
              <w:top w:val="nil"/>
              <w:left w:val="nil"/>
              <w:bottom w:val="single" w:sz="4" w:space="0" w:color="auto"/>
              <w:right w:val="single" w:sz="4" w:space="0" w:color="auto"/>
            </w:tcBorders>
            <w:shd w:val="clear" w:color="auto" w:fill="auto"/>
            <w:noWrap/>
            <w:vAlign w:val="bottom"/>
            <w:hideMark/>
          </w:tcPr>
          <w:p w:rsidR="00194E44" w:rsidRPr="006551C6" w:rsidRDefault="00194E44" w:rsidP="00B6276C">
            <w:pPr>
              <w:spacing w:before="60" w:after="60"/>
              <w:jc w:val="right"/>
              <w:rPr>
                <w:rFonts w:ascii="Arial" w:hAnsi="Arial" w:cs="Arial"/>
                <w:sz w:val="16"/>
                <w:szCs w:val="16"/>
                <w:lang w:eastAsia="en-NZ"/>
              </w:rPr>
            </w:pPr>
            <w:r w:rsidRPr="006551C6">
              <w:rPr>
                <w:rFonts w:ascii="Arial" w:hAnsi="Arial" w:cs="Arial"/>
                <w:sz w:val="16"/>
                <w:szCs w:val="16"/>
                <w:lang w:eastAsia="en-NZ"/>
              </w:rPr>
              <w:t>0.227</w:t>
            </w:r>
          </w:p>
        </w:tc>
        <w:tc>
          <w:tcPr>
            <w:tcW w:w="996" w:type="dxa"/>
            <w:tcBorders>
              <w:top w:val="nil"/>
              <w:left w:val="nil"/>
              <w:bottom w:val="single" w:sz="4" w:space="0" w:color="auto"/>
              <w:right w:val="single" w:sz="4" w:space="0" w:color="auto"/>
            </w:tcBorders>
            <w:shd w:val="clear" w:color="auto" w:fill="auto"/>
            <w:noWrap/>
            <w:vAlign w:val="bottom"/>
            <w:hideMark/>
          </w:tcPr>
          <w:p w:rsidR="00194E44" w:rsidRPr="006551C6" w:rsidRDefault="00194E44" w:rsidP="00B6276C">
            <w:pPr>
              <w:spacing w:before="60" w:after="60"/>
              <w:jc w:val="right"/>
              <w:rPr>
                <w:rFonts w:ascii="Arial" w:hAnsi="Arial" w:cs="Arial"/>
                <w:sz w:val="16"/>
                <w:szCs w:val="16"/>
                <w:lang w:eastAsia="en-NZ"/>
              </w:rPr>
            </w:pPr>
            <w:r w:rsidRPr="006551C6">
              <w:rPr>
                <w:rFonts w:ascii="Arial" w:hAnsi="Arial" w:cs="Arial"/>
                <w:sz w:val="16"/>
                <w:szCs w:val="16"/>
                <w:lang w:eastAsia="en-NZ"/>
              </w:rPr>
              <w:t>0.00239</w:t>
            </w:r>
          </w:p>
        </w:tc>
        <w:tc>
          <w:tcPr>
            <w:tcW w:w="996" w:type="dxa"/>
            <w:tcBorders>
              <w:top w:val="nil"/>
              <w:left w:val="nil"/>
              <w:bottom w:val="single" w:sz="4" w:space="0" w:color="auto"/>
              <w:right w:val="single" w:sz="4" w:space="0" w:color="auto"/>
            </w:tcBorders>
            <w:shd w:val="clear" w:color="auto" w:fill="auto"/>
            <w:noWrap/>
            <w:vAlign w:val="bottom"/>
            <w:hideMark/>
          </w:tcPr>
          <w:p w:rsidR="00194E44" w:rsidRPr="006551C6" w:rsidRDefault="00194E44" w:rsidP="00B6276C">
            <w:pPr>
              <w:spacing w:before="60" w:after="60"/>
              <w:jc w:val="right"/>
              <w:rPr>
                <w:rFonts w:ascii="Arial" w:hAnsi="Arial" w:cs="Arial"/>
                <w:sz w:val="16"/>
                <w:szCs w:val="16"/>
                <w:lang w:eastAsia="en-NZ"/>
              </w:rPr>
            </w:pPr>
            <w:r w:rsidRPr="006551C6">
              <w:rPr>
                <w:rFonts w:ascii="Arial" w:hAnsi="Arial" w:cs="Arial"/>
                <w:sz w:val="16"/>
                <w:szCs w:val="16"/>
                <w:lang w:eastAsia="en-NZ"/>
              </w:rPr>
              <w:t>0.00772</w:t>
            </w:r>
          </w:p>
        </w:tc>
      </w:tr>
      <w:tr w:rsidR="00F576DC" w:rsidRPr="00194E44" w:rsidTr="006551C6">
        <w:trPr>
          <w:trHeight w:val="255"/>
        </w:trPr>
        <w:tc>
          <w:tcPr>
            <w:tcW w:w="3118" w:type="dxa"/>
            <w:tcBorders>
              <w:top w:val="nil"/>
              <w:left w:val="single" w:sz="4" w:space="0" w:color="auto"/>
              <w:bottom w:val="single" w:sz="4" w:space="0" w:color="auto"/>
              <w:right w:val="single" w:sz="4" w:space="0" w:color="auto"/>
            </w:tcBorders>
            <w:shd w:val="clear" w:color="auto" w:fill="auto"/>
            <w:noWrap/>
            <w:vAlign w:val="bottom"/>
            <w:hideMark/>
          </w:tcPr>
          <w:p w:rsidR="00F576DC" w:rsidRPr="006551C6" w:rsidRDefault="00F576DC" w:rsidP="00B6276C">
            <w:pPr>
              <w:spacing w:before="60" w:after="60"/>
              <w:jc w:val="left"/>
              <w:rPr>
                <w:rFonts w:ascii="Arial" w:hAnsi="Arial" w:cs="Arial"/>
                <w:sz w:val="16"/>
                <w:szCs w:val="16"/>
                <w:lang w:eastAsia="en-NZ"/>
              </w:rPr>
            </w:pPr>
            <w:r w:rsidRPr="006551C6">
              <w:rPr>
                <w:rFonts w:ascii="Arial" w:hAnsi="Arial" w:cs="Arial"/>
                <w:sz w:val="16"/>
                <w:szCs w:val="16"/>
                <w:lang w:eastAsia="en-NZ"/>
              </w:rPr>
              <w:t>Car -  (3000 - &lt;4000 cc)</w:t>
            </w:r>
          </w:p>
        </w:tc>
        <w:tc>
          <w:tcPr>
            <w:tcW w:w="856" w:type="dxa"/>
            <w:tcBorders>
              <w:top w:val="nil"/>
              <w:left w:val="nil"/>
              <w:bottom w:val="single" w:sz="4" w:space="0" w:color="auto"/>
              <w:right w:val="single" w:sz="4" w:space="0" w:color="auto"/>
            </w:tcBorders>
            <w:shd w:val="clear" w:color="auto" w:fill="auto"/>
            <w:noWrap/>
            <w:vAlign w:val="bottom"/>
            <w:hideMark/>
          </w:tcPr>
          <w:p w:rsidR="00F576DC" w:rsidRPr="006551C6" w:rsidRDefault="00F576DC" w:rsidP="00B6276C">
            <w:pPr>
              <w:spacing w:before="60" w:after="60"/>
              <w:jc w:val="left"/>
              <w:rPr>
                <w:rFonts w:ascii="Arial" w:hAnsi="Arial" w:cs="Arial"/>
                <w:sz w:val="16"/>
                <w:szCs w:val="16"/>
                <w:lang w:eastAsia="en-NZ"/>
              </w:rPr>
            </w:pPr>
            <w:r w:rsidRPr="006551C6">
              <w:rPr>
                <w:rFonts w:ascii="Arial" w:hAnsi="Arial" w:cs="Arial"/>
                <w:sz w:val="16"/>
                <w:szCs w:val="16"/>
                <w:lang w:eastAsia="en-NZ"/>
              </w:rPr>
              <w:t>Km</w:t>
            </w:r>
          </w:p>
        </w:tc>
        <w:tc>
          <w:tcPr>
            <w:tcW w:w="996" w:type="dxa"/>
            <w:tcBorders>
              <w:top w:val="nil"/>
              <w:left w:val="nil"/>
              <w:bottom w:val="single" w:sz="4" w:space="0" w:color="auto"/>
              <w:right w:val="single" w:sz="4" w:space="0" w:color="auto"/>
            </w:tcBorders>
            <w:shd w:val="clear" w:color="auto" w:fill="auto"/>
            <w:noWrap/>
            <w:vAlign w:val="bottom"/>
            <w:hideMark/>
          </w:tcPr>
          <w:p w:rsidR="00F576DC" w:rsidRPr="00F576DC" w:rsidRDefault="00F576DC" w:rsidP="00F576DC">
            <w:pPr>
              <w:spacing w:before="60" w:after="60"/>
              <w:jc w:val="right"/>
              <w:rPr>
                <w:rFonts w:ascii="Arial" w:hAnsi="Arial" w:cs="Arial"/>
                <w:sz w:val="16"/>
                <w:szCs w:val="16"/>
                <w:lang w:eastAsia="en-NZ"/>
              </w:rPr>
            </w:pPr>
            <w:r w:rsidRPr="00F576DC">
              <w:rPr>
                <w:rFonts w:ascii="Arial" w:hAnsi="Arial" w:cs="Arial"/>
                <w:sz w:val="16"/>
                <w:szCs w:val="16"/>
                <w:lang w:eastAsia="en-NZ"/>
              </w:rPr>
              <w:t>0.278</w:t>
            </w:r>
          </w:p>
        </w:tc>
        <w:tc>
          <w:tcPr>
            <w:tcW w:w="996" w:type="dxa"/>
            <w:tcBorders>
              <w:top w:val="nil"/>
              <w:left w:val="nil"/>
              <w:bottom w:val="single" w:sz="4" w:space="0" w:color="auto"/>
              <w:right w:val="single" w:sz="4" w:space="0" w:color="auto"/>
            </w:tcBorders>
            <w:shd w:val="clear" w:color="auto" w:fill="auto"/>
            <w:noWrap/>
            <w:vAlign w:val="bottom"/>
            <w:hideMark/>
          </w:tcPr>
          <w:p w:rsidR="00F576DC" w:rsidRPr="00F576DC" w:rsidRDefault="00F576DC" w:rsidP="00F576DC">
            <w:pPr>
              <w:spacing w:before="60" w:after="60"/>
              <w:jc w:val="right"/>
              <w:rPr>
                <w:rFonts w:ascii="Arial" w:hAnsi="Arial" w:cs="Arial"/>
                <w:sz w:val="16"/>
                <w:szCs w:val="16"/>
                <w:lang w:eastAsia="en-NZ"/>
              </w:rPr>
            </w:pPr>
            <w:r w:rsidRPr="00F576DC">
              <w:rPr>
                <w:rFonts w:ascii="Arial" w:hAnsi="Arial" w:cs="Arial"/>
                <w:sz w:val="16"/>
                <w:szCs w:val="16"/>
                <w:lang w:eastAsia="en-NZ"/>
              </w:rPr>
              <w:t>0.266</w:t>
            </w:r>
          </w:p>
        </w:tc>
        <w:tc>
          <w:tcPr>
            <w:tcW w:w="996" w:type="dxa"/>
            <w:tcBorders>
              <w:top w:val="nil"/>
              <w:left w:val="nil"/>
              <w:bottom w:val="single" w:sz="4" w:space="0" w:color="auto"/>
              <w:right w:val="single" w:sz="4" w:space="0" w:color="auto"/>
            </w:tcBorders>
            <w:shd w:val="clear" w:color="auto" w:fill="auto"/>
            <w:noWrap/>
            <w:vAlign w:val="bottom"/>
            <w:hideMark/>
          </w:tcPr>
          <w:p w:rsidR="00F576DC" w:rsidRPr="00F576DC" w:rsidRDefault="00F576DC" w:rsidP="00F576DC">
            <w:pPr>
              <w:spacing w:before="60" w:after="60"/>
              <w:jc w:val="right"/>
              <w:rPr>
                <w:rFonts w:ascii="Arial" w:hAnsi="Arial" w:cs="Arial"/>
                <w:sz w:val="16"/>
                <w:szCs w:val="16"/>
                <w:lang w:eastAsia="en-NZ"/>
              </w:rPr>
            </w:pPr>
            <w:r w:rsidRPr="00F576DC">
              <w:rPr>
                <w:rFonts w:ascii="Arial" w:hAnsi="Arial" w:cs="Arial"/>
                <w:sz w:val="16"/>
                <w:szCs w:val="16"/>
                <w:lang w:eastAsia="en-NZ"/>
              </w:rPr>
              <w:t>0.00280</w:t>
            </w:r>
          </w:p>
        </w:tc>
        <w:tc>
          <w:tcPr>
            <w:tcW w:w="996" w:type="dxa"/>
            <w:tcBorders>
              <w:top w:val="nil"/>
              <w:left w:val="nil"/>
              <w:bottom w:val="single" w:sz="4" w:space="0" w:color="auto"/>
              <w:right w:val="single" w:sz="4" w:space="0" w:color="auto"/>
            </w:tcBorders>
            <w:shd w:val="clear" w:color="auto" w:fill="auto"/>
            <w:noWrap/>
            <w:vAlign w:val="bottom"/>
            <w:hideMark/>
          </w:tcPr>
          <w:p w:rsidR="00F576DC" w:rsidRPr="00F576DC" w:rsidRDefault="00F576DC" w:rsidP="00F576DC">
            <w:pPr>
              <w:spacing w:before="60" w:after="60"/>
              <w:jc w:val="right"/>
              <w:rPr>
                <w:rFonts w:ascii="Arial" w:hAnsi="Arial" w:cs="Arial"/>
                <w:sz w:val="16"/>
                <w:szCs w:val="16"/>
                <w:lang w:eastAsia="en-NZ"/>
              </w:rPr>
            </w:pPr>
            <w:r w:rsidRPr="00F576DC">
              <w:rPr>
                <w:rFonts w:ascii="Arial" w:hAnsi="Arial" w:cs="Arial"/>
                <w:sz w:val="16"/>
                <w:szCs w:val="16"/>
                <w:lang w:eastAsia="en-NZ"/>
              </w:rPr>
              <w:t>0.00905</w:t>
            </w:r>
          </w:p>
        </w:tc>
      </w:tr>
      <w:tr w:rsidR="00F576DC" w:rsidRPr="00194E44" w:rsidTr="006551C6">
        <w:trPr>
          <w:trHeight w:val="255"/>
        </w:trPr>
        <w:tc>
          <w:tcPr>
            <w:tcW w:w="3118" w:type="dxa"/>
            <w:tcBorders>
              <w:top w:val="nil"/>
              <w:left w:val="single" w:sz="4" w:space="0" w:color="auto"/>
              <w:bottom w:val="single" w:sz="4" w:space="0" w:color="auto"/>
              <w:right w:val="single" w:sz="4" w:space="0" w:color="auto"/>
            </w:tcBorders>
            <w:shd w:val="clear" w:color="auto" w:fill="auto"/>
            <w:noWrap/>
            <w:vAlign w:val="bottom"/>
            <w:hideMark/>
          </w:tcPr>
          <w:p w:rsidR="00F576DC" w:rsidRPr="006551C6" w:rsidRDefault="00F576DC" w:rsidP="00B6276C">
            <w:pPr>
              <w:spacing w:before="60" w:after="60"/>
              <w:jc w:val="left"/>
              <w:rPr>
                <w:rFonts w:ascii="Arial" w:hAnsi="Arial" w:cs="Arial"/>
                <w:sz w:val="16"/>
                <w:szCs w:val="16"/>
                <w:lang w:eastAsia="en-NZ"/>
              </w:rPr>
            </w:pPr>
            <w:r w:rsidRPr="006551C6">
              <w:rPr>
                <w:rFonts w:ascii="Arial" w:hAnsi="Arial" w:cs="Arial"/>
                <w:sz w:val="16"/>
                <w:szCs w:val="16"/>
                <w:lang w:eastAsia="en-NZ"/>
              </w:rPr>
              <w:t>Petrol hybrids (&lt;2000 cc)</w:t>
            </w:r>
            <w:r>
              <w:rPr>
                <w:rFonts w:ascii="Arial" w:hAnsi="Arial" w:cs="Arial"/>
                <w:sz w:val="16"/>
                <w:szCs w:val="16"/>
                <w:lang w:eastAsia="en-NZ"/>
              </w:rPr>
              <w:t>**</w:t>
            </w:r>
          </w:p>
        </w:tc>
        <w:tc>
          <w:tcPr>
            <w:tcW w:w="856" w:type="dxa"/>
            <w:tcBorders>
              <w:top w:val="nil"/>
              <w:left w:val="nil"/>
              <w:bottom w:val="single" w:sz="4" w:space="0" w:color="auto"/>
              <w:right w:val="single" w:sz="4" w:space="0" w:color="auto"/>
            </w:tcBorders>
            <w:shd w:val="clear" w:color="auto" w:fill="auto"/>
            <w:noWrap/>
            <w:vAlign w:val="bottom"/>
            <w:hideMark/>
          </w:tcPr>
          <w:p w:rsidR="00F576DC" w:rsidRPr="006551C6" w:rsidRDefault="00F576DC" w:rsidP="00B6276C">
            <w:pPr>
              <w:spacing w:before="60" w:after="60"/>
              <w:jc w:val="left"/>
              <w:rPr>
                <w:rFonts w:ascii="Arial" w:hAnsi="Arial" w:cs="Arial"/>
                <w:sz w:val="16"/>
                <w:szCs w:val="16"/>
                <w:lang w:eastAsia="en-NZ"/>
              </w:rPr>
            </w:pPr>
            <w:r w:rsidRPr="006551C6">
              <w:rPr>
                <w:rFonts w:ascii="Arial" w:hAnsi="Arial" w:cs="Arial"/>
                <w:sz w:val="16"/>
                <w:szCs w:val="16"/>
                <w:lang w:eastAsia="en-NZ"/>
              </w:rPr>
              <w:t>Km</w:t>
            </w:r>
          </w:p>
        </w:tc>
        <w:tc>
          <w:tcPr>
            <w:tcW w:w="996" w:type="dxa"/>
            <w:tcBorders>
              <w:top w:val="nil"/>
              <w:left w:val="nil"/>
              <w:bottom w:val="single" w:sz="4" w:space="0" w:color="auto"/>
              <w:right w:val="single" w:sz="4" w:space="0" w:color="auto"/>
            </w:tcBorders>
            <w:shd w:val="clear" w:color="auto" w:fill="auto"/>
            <w:noWrap/>
            <w:vAlign w:val="bottom"/>
            <w:hideMark/>
          </w:tcPr>
          <w:p w:rsidR="00F576DC" w:rsidRPr="006551C6" w:rsidRDefault="00F576DC" w:rsidP="00B6276C">
            <w:pPr>
              <w:spacing w:before="60" w:after="60"/>
              <w:jc w:val="right"/>
              <w:rPr>
                <w:rFonts w:ascii="Arial" w:hAnsi="Arial" w:cs="Arial"/>
                <w:sz w:val="16"/>
                <w:szCs w:val="16"/>
                <w:lang w:eastAsia="en-NZ"/>
              </w:rPr>
            </w:pPr>
            <w:r w:rsidRPr="006551C6">
              <w:rPr>
                <w:rFonts w:ascii="Arial" w:hAnsi="Arial" w:cs="Arial"/>
                <w:sz w:val="16"/>
                <w:szCs w:val="16"/>
                <w:lang w:eastAsia="en-NZ"/>
              </w:rPr>
              <w:t>0.102</w:t>
            </w:r>
          </w:p>
        </w:tc>
        <w:tc>
          <w:tcPr>
            <w:tcW w:w="996" w:type="dxa"/>
            <w:tcBorders>
              <w:top w:val="nil"/>
              <w:left w:val="nil"/>
              <w:bottom w:val="single" w:sz="4" w:space="0" w:color="auto"/>
              <w:right w:val="single" w:sz="4" w:space="0" w:color="auto"/>
            </w:tcBorders>
            <w:shd w:val="clear" w:color="auto" w:fill="auto"/>
            <w:noWrap/>
            <w:vAlign w:val="bottom"/>
            <w:hideMark/>
          </w:tcPr>
          <w:p w:rsidR="00F576DC" w:rsidRPr="006551C6" w:rsidRDefault="00F576DC" w:rsidP="00B6276C">
            <w:pPr>
              <w:spacing w:before="60" w:after="60"/>
              <w:jc w:val="right"/>
              <w:rPr>
                <w:rFonts w:ascii="Arial" w:hAnsi="Arial" w:cs="Arial"/>
                <w:sz w:val="16"/>
                <w:szCs w:val="16"/>
                <w:lang w:eastAsia="en-NZ"/>
              </w:rPr>
            </w:pPr>
            <w:r w:rsidRPr="006551C6">
              <w:rPr>
                <w:rFonts w:ascii="Arial" w:hAnsi="Arial" w:cs="Arial"/>
                <w:sz w:val="16"/>
                <w:szCs w:val="16"/>
                <w:lang w:eastAsia="en-NZ"/>
              </w:rPr>
              <w:t>0.098</w:t>
            </w:r>
          </w:p>
        </w:tc>
        <w:tc>
          <w:tcPr>
            <w:tcW w:w="996" w:type="dxa"/>
            <w:tcBorders>
              <w:top w:val="nil"/>
              <w:left w:val="nil"/>
              <w:bottom w:val="single" w:sz="4" w:space="0" w:color="auto"/>
              <w:right w:val="single" w:sz="4" w:space="0" w:color="auto"/>
            </w:tcBorders>
            <w:shd w:val="clear" w:color="auto" w:fill="auto"/>
            <w:noWrap/>
            <w:vAlign w:val="bottom"/>
            <w:hideMark/>
          </w:tcPr>
          <w:p w:rsidR="00F576DC" w:rsidRPr="006551C6" w:rsidRDefault="00F576DC" w:rsidP="00B6276C">
            <w:pPr>
              <w:spacing w:before="60" w:after="60"/>
              <w:jc w:val="right"/>
              <w:rPr>
                <w:rFonts w:ascii="Arial" w:hAnsi="Arial" w:cs="Arial"/>
                <w:sz w:val="16"/>
                <w:szCs w:val="16"/>
                <w:lang w:eastAsia="en-NZ"/>
              </w:rPr>
            </w:pPr>
            <w:r w:rsidRPr="006551C6">
              <w:rPr>
                <w:rFonts w:ascii="Arial" w:hAnsi="Arial" w:cs="Arial"/>
                <w:sz w:val="16"/>
                <w:szCs w:val="16"/>
                <w:lang w:eastAsia="en-NZ"/>
              </w:rPr>
              <w:t>0.00103</w:t>
            </w:r>
          </w:p>
        </w:tc>
        <w:tc>
          <w:tcPr>
            <w:tcW w:w="996" w:type="dxa"/>
            <w:tcBorders>
              <w:top w:val="nil"/>
              <w:left w:val="nil"/>
              <w:bottom w:val="single" w:sz="4" w:space="0" w:color="auto"/>
              <w:right w:val="single" w:sz="4" w:space="0" w:color="auto"/>
            </w:tcBorders>
            <w:shd w:val="clear" w:color="auto" w:fill="auto"/>
            <w:noWrap/>
            <w:vAlign w:val="bottom"/>
            <w:hideMark/>
          </w:tcPr>
          <w:p w:rsidR="00F576DC" w:rsidRPr="006551C6" w:rsidRDefault="00F576DC" w:rsidP="00B6276C">
            <w:pPr>
              <w:spacing w:before="60" w:after="60"/>
              <w:jc w:val="right"/>
              <w:rPr>
                <w:rFonts w:ascii="Arial" w:hAnsi="Arial" w:cs="Arial"/>
                <w:sz w:val="16"/>
                <w:szCs w:val="16"/>
                <w:lang w:eastAsia="en-NZ"/>
              </w:rPr>
            </w:pPr>
            <w:r w:rsidRPr="006551C6">
              <w:rPr>
                <w:rFonts w:ascii="Arial" w:hAnsi="Arial" w:cs="Arial"/>
                <w:sz w:val="16"/>
                <w:szCs w:val="16"/>
                <w:lang w:eastAsia="en-NZ"/>
              </w:rPr>
              <w:t>0.00334</w:t>
            </w:r>
          </w:p>
        </w:tc>
      </w:tr>
      <w:tr w:rsidR="00F576DC" w:rsidRPr="00194E44" w:rsidTr="00F576DC">
        <w:trPr>
          <w:trHeight w:val="200"/>
        </w:trPr>
        <w:tc>
          <w:tcPr>
            <w:tcW w:w="3118" w:type="dxa"/>
            <w:tcBorders>
              <w:top w:val="nil"/>
              <w:left w:val="single" w:sz="4" w:space="0" w:color="auto"/>
              <w:bottom w:val="single" w:sz="4" w:space="0" w:color="auto"/>
              <w:right w:val="single" w:sz="4" w:space="0" w:color="auto"/>
            </w:tcBorders>
            <w:shd w:val="clear" w:color="auto" w:fill="auto"/>
            <w:noWrap/>
            <w:vAlign w:val="bottom"/>
            <w:hideMark/>
          </w:tcPr>
          <w:p w:rsidR="00F576DC" w:rsidRPr="006551C6" w:rsidRDefault="00F576DC" w:rsidP="00B6276C">
            <w:pPr>
              <w:spacing w:before="60" w:after="60"/>
              <w:jc w:val="left"/>
              <w:rPr>
                <w:rFonts w:ascii="Arial" w:hAnsi="Arial" w:cs="Arial"/>
                <w:sz w:val="16"/>
                <w:szCs w:val="16"/>
                <w:lang w:eastAsia="en-NZ"/>
              </w:rPr>
            </w:pPr>
            <w:r w:rsidRPr="006551C6">
              <w:rPr>
                <w:rFonts w:ascii="Arial" w:hAnsi="Arial" w:cs="Arial"/>
                <w:sz w:val="16"/>
                <w:szCs w:val="16"/>
                <w:lang w:eastAsia="en-NZ"/>
              </w:rPr>
              <w:t>P</w:t>
            </w:r>
            <w:r w:rsidRPr="004C64DB">
              <w:rPr>
                <w:rFonts w:ascii="Arial" w:hAnsi="Arial" w:cs="Arial"/>
                <w:sz w:val="16"/>
                <w:szCs w:val="16"/>
                <w:lang w:eastAsia="en-NZ"/>
              </w:rPr>
              <w:t>etrol hybrids (2000 - &lt;4000cc</w:t>
            </w:r>
            <w:r w:rsidRPr="006551C6">
              <w:rPr>
                <w:rFonts w:ascii="Arial" w:hAnsi="Arial" w:cs="Arial"/>
                <w:sz w:val="16"/>
                <w:szCs w:val="16"/>
                <w:lang w:eastAsia="en-NZ"/>
              </w:rPr>
              <w:t>)</w:t>
            </w:r>
            <w:r>
              <w:rPr>
                <w:rFonts w:ascii="Arial" w:hAnsi="Arial" w:cs="Arial"/>
                <w:sz w:val="16"/>
                <w:szCs w:val="16"/>
                <w:lang w:eastAsia="en-NZ"/>
              </w:rPr>
              <w:t>**</w:t>
            </w:r>
          </w:p>
        </w:tc>
        <w:tc>
          <w:tcPr>
            <w:tcW w:w="856" w:type="dxa"/>
            <w:tcBorders>
              <w:top w:val="nil"/>
              <w:left w:val="nil"/>
              <w:bottom w:val="single" w:sz="4" w:space="0" w:color="auto"/>
              <w:right w:val="single" w:sz="4" w:space="0" w:color="auto"/>
            </w:tcBorders>
            <w:shd w:val="clear" w:color="auto" w:fill="auto"/>
            <w:noWrap/>
            <w:vAlign w:val="bottom"/>
            <w:hideMark/>
          </w:tcPr>
          <w:p w:rsidR="00F576DC" w:rsidRPr="006551C6" w:rsidRDefault="00F576DC" w:rsidP="00B6276C">
            <w:pPr>
              <w:spacing w:before="60" w:after="60"/>
              <w:jc w:val="left"/>
              <w:rPr>
                <w:rFonts w:ascii="Arial" w:hAnsi="Arial" w:cs="Arial"/>
                <w:sz w:val="16"/>
                <w:szCs w:val="16"/>
                <w:lang w:eastAsia="en-NZ"/>
              </w:rPr>
            </w:pPr>
            <w:r w:rsidRPr="006551C6">
              <w:rPr>
                <w:rFonts w:ascii="Arial" w:hAnsi="Arial" w:cs="Arial"/>
                <w:sz w:val="16"/>
                <w:szCs w:val="16"/>
                <w:lang w:eastAsia="en-NZ"/>
              </w:rPr>
              <w:t>Km</w:t>
            </w:r>
          </w:p>
        </w:tc>
        <w:tc>
          <w:tcPr>
            <w:tcW w:w="996" w:type="dxa"/>
            <w:tcBorders>
              <w:top w:val="nil"/>
              <w:left w:val="nil"/>
              <w:bottom w:val="single" w:sz="4" w:space="0" w:color="auto"/>
              <w:right w:val="single" w:sz="4" w:space="0" w:color="auto"/>
            </w:tcBorders>
            <w:shd w:val="clear" w:color="auto" w:fill="auto"/>
            <w:noWrap/>
            <w:vAlign w:val="bottom"/>
            <w:hideMark/>
          </w:tcPr>
          <w:p w:rsidR="00F576DC" w:rsidRPr="006551C6" w:rsidRDefault="00F576DC" w:rsidP="00B6276C">
            <w:pPr>
              <w:spacing w:before="60" w:after="60"/>
              <w:jc w:val="right"/>
              <w:rPr>
                <w:rFonts w:ascii="Arial" w:hAnsi="Arial" w:cs="Arial"/>
                <w:sz w:val="16"/>
                <w:szCs w:val="16"/>
                <w:lang w:eastAsia="en-NZ"/>
              </w:rPr>
            </w:pPr>
            <w:r w:rsidRPr="006551C6">
              <w:rPr>
                <w:rFonts w:ascii="Arial" w:hAnsi="Arial" w:cs="Arial"/>
                <w:sz w:val="16"/>
                <w:szCs w:val="16"/>
                <w:lang w:eastAsia="en-NZ"/>
              </w:rPr>
              <w:t>0.146</w:t>
            </w:r>
          </w:p>
        </w:tc>
        <w:tc>
          <w:tcPr>
            <w:tcW w:w="996" w:type="dxa"/>
            <w:tcBorders>
              <w:top w:val="nil"/>
              <w:left w:val="nil"/>
              <w:bottom w:val="single" w:sz="4" w:space="0" w:color="auto"/>
              <w:right w:val="single" w:sz="4" w:space="0" w:color="auto"/>
            </w:tcBorders>
            <w:shd w:val="clear" w:color="auto" w:fill="auto"/>
            <w:noWrap/>
            <w:vAlign w:val="bottom"/>
            <w:hideMark/>
          </w:tcPr>
          <w:p w:rsidR="00F576DC" w:rsidRPr="006551C6" w:rsidRDefault="00F576DC" w:rsidP="00B6276C">
            <w:pPr>
              <w:spacing w:before="60" w:after="60"/>
              <w:jc w:val="right"/>
              <w:rPr>
                <w:rFonts w:ascii="Arial" w:hAnsi="Arial" w:cs="Arial"/>
                <w:sz w:val="16"/>
                <w:szCs w:val="16"/>
                <w:lang w:eastAsia="en-NZ"/>
              </w:rPr>
            </w:pPr>
            <w:r w:rsidRPr="006551C6">
              <w:rPr>
                <w:rFonts w:ascii="Arial" w:hAnsi="Arial" w:cs="Arial"/>
                <w:sz w:val="16"/>
                <w:szCs w:val="16"/>
                <w:lang w:eastAsia="en-NZ"/>
              </w:rPr>
              <w:t>0.140</w:t>
            </w:r>
          </w:p>
        </w:tc>
        <w:tc>
          <w:tcPr>
            <w:tcW w:w="996" w:type="dxa"/>
            <w:tcBorders>
              <w:top w:val="nil"/>
              <w:left w:val="nil"/>
              <w:bottom w:val="single" w:sz="4" w:space="0" w:color="auto"/>
              <w:right w:val="single" w:sz="4" w:space="0" w:color="auto"/>
            </w:tcBorders>
            <w:shd w:val="clear" w:color="auto" w:fill="auto"/>
            <w:noWrap/>
            <w:vAlign w:val="bottom"/>
            <w:hideMark/>
          </w:tcPr>
          <w:p w:rsidR="00F576DC" w:rsidRPr="006551C6" w:rsidRDefault="00F576DC" w:rsidP="00B6276C">
            <w:pPr>
              <w:spacing w:before="60" w:after="60"/>
              <w:jc w:val="right"/>
              <w:rPr>
                <w:rFonts w:ascii="Arial" w:hAnsi="Arial" w:cs="Arial"/>
                <w:sz w:val="16"/>
                <w:szCs w:val="16"/>
                <w:lang w:eastAsia="en-NZ"/>
              </w:rPr>
            </w:pPr>
            <w:r w:rsidRPr="006551C6">
              <w:rPr>
                <w:rFonts w:ascii="Arial" w:hAnsi="Arial" w:cs="Arial"/>
                <w:sz w:val="16"/>
                <w:szCs w:val="16"/>
                <w:lang w:eastAsia="en-NZ"/>
              </w:rPr>
              <w:t>0.00148</w:t>
            </w:r>
          </w:p>
        </w:tc>
        <w:tc>
          <w:tcPr>
            <w:tcW w:w="996" w:type="dxa"/>
            <w:tcBorders>
              <w:top w:val="nil"/>
              <w:left w:val="nil"/>
              <w:bottom w:val="single" w:sz="4" w:space="0" w:color="auto"/>
              <w:right w:val="single" w:sz="4" w:space="0" w:color="auto"/>
            </w:tcBorders>
            <w:shd w:val="clear" w:color="auto" w:fill="auto"/>
            <w:noWrap/>
            <w:vAlign w:val="bottom"/>
            <w:hideMark/>
          </w:tcPr>
          <w:p w:rsidR="00F576DC" w:rsidRPr="006551C6" w:rsidRDefault="00F576DC" w:rsidP="00B6276C">
            <w:pPr>
              <w:spacing w:before="60" w:after="60"/>
              <w:jc w:val="right"/>
              <w:rPr>
                <w:rFonts w:ascii="Arial" w:hAnsi="Arial" w:cs="Arial"/>
                <w:sz w:val="16"/>
                <w:szCs w:val="16"/>
                <w:lang w:eastAsia="en-NZ"/>
              </w:rPr>
            </w:pPr>
            <w:r w:rsidRPr="006551C6">
              <w:rPr>
                <w:rFonts w:ascii="Arial" w:hAnsi="Arial" w:cs="Arial"/>
                <w:sz w:val="16"/>
                <w:szCs w:val="16"/>
                <w:lang w:eastAsia="en-NZ"/>
              </w:rPr>
              <w:t>0.00478</w:t>
            </w:r>
          </w:p>
        </w:tc>
      </w:tr>
      <w:tr w:rsidR="0027681C" w:rsidRPr="00194E44" w:rsidTr="006551C6">
        <w:trPr>
          <w:trHeight w:val="255"/>
        </w:trPr>
        <w:tc>
          <w:tcPr>
            <w:tcW w:w="3118" w:type="dxa"/>
            <w:tcBorders>
              <w:top w:val="nil"/>
              <w:left w:val="single" w:sz="4" w:space="0" w:color="auto"/>
              <w:bottom w:val="single" w:sz="4" w:space="0" w:color="auto"/>
              <w:right w:val="single" w:sz="4" w:space="0" w:color="auto"/>
            </w:tcBorders>
            <w:shd w:val="clear" w:color="auto" w:fill="auto"/>
            <w:noWrap/>
            <w:vAlign w:val="bottom"/>
            <w:hideMark/>
          </w:tcPr>
          <w:p w:rsidR="0027681C" w:rsidRPr="006551C6" w:rsidRDefault="0027681C" w:rsidP="00B6276C">
            <w:pPr>
              <w:spacing w:before="60" w:after="60"/>
              <w:jc w:val="left"/>
              <w:rPr>
                <w:rFonts w:ascii="Arial" w:hAnsi="Arial" w:cs="Arial"/>
                <w:sz w:val="16"/>
                <w:szCs w:val="16"/>
                <w:lang w:eastAsia="en-NZ"/>
              </w:rPr>
            </w:pPr>
            <w:r w:rsidRPr="006551C6">
              <w:rPr>
                <w:rFonts w:ascii="Arial" w:hAnsi="Arial" w:cs="Arial"/>
                <w:sz w:val="16"/>
                <w:szCs w:val="16"/>
                <w:lang w:eastAsia="en-NZ"/>
              </w:rPr>
              <w:t>Car - Default **</w:t>
            </w:r>
            <w:r>
              <w:rPr>
                <w:rFonts w:ascii="Arial" w:hAnsi="Arial" w:cs="Arial"/>
                <w:sz w:val="16"/>
                <w:szCs w:val="16"/>
                <w:lang w:eastAsia="en-NZ"/>
              </w:rPr>
              <w:t>*</w:t>
            </w:r>
          </w:p>
        </w:tc>
        <w:tc>
          <w:tcPr>
            <w:tcW w:w="856" w:type="dxa"/>
            <w:tcBorders>
              <w:top w:val="nil"/>
              <w:left w:val="nil"/>
              <w:bottom w:val="single" w:sz="4" w:space="0" w:color="auto"/>
              <w:right w:val="single" w:sz="4" w:space="0" w:color="auto"/>
            </w:tcBorders>
            <w:shd w:val="clear" w:color="auto" w:fill="auto"/>
            <w:noWrap/>
            <w:vAlign w:val="bottom"/>
            <w:hideMark/>
          </w:tcPr>
          <w:p w:rsidR="0027681C" w:rsidRPr="006551C6" w:rsidRDefault="0027681C" w:rsidP="00B6276C">
            <w:pPr>
              <w:spacing w:before="60" w:after="60"/>
              <w:jc w:val="left"/>
              <w:rPr>
                <w:rFonts w:ascii="Arial" w:hAnsi="Arial" w:cs="Arial"/>
                <w:sz w:val="16"/>
                <w:szCs w:val="16"/>
                <w:lang w:eastAsia="en-NZ"/>
              </w:rPr>
            </w:pPr>
            <w:r w:rsidRPr="006551C6">
              <w:rPr>
                <w:rFonts w:ascii="Arial" w:hAnsi="Arial" w:cs="Arial"/>
                <w:sz w:val="16"/>
                <w:szCs w:val="16"/>
                <w:lang w:eastAsia="en-NZ"/>
              </w:rPr>
              <w:t>Km</w:t>
            </w:r>
          </w:p>
        </w:tc>
        <w:tc>
          <w:tcPr>
            <w:tcW w:w="996" w:type="dxa"/>
            <w:tcBorders>
              <w:top w:val="nil"/>
              <w:left w:val="nil"/>
              <w:bottom w:val="single" w:sz="4" w:space="0" w:color="auto"/>
              <w:right w:val="single" w:sz="4" w:space="0" w:color="auto"/>
            </w:tcBorders>
            <w:shd w:val="clear" w:color="auto" w:fill="auto"/>
            <w:noWrap/>
            <w:vAlign w:val="bottom"/>
            <w:hideMark/>
          </w:tcPr>
          <w:p w:rsidR="0027681C" w:rsidRPr="0027681C" w:rsidRDefault="0027681C" w:rsidP="00B6276C">
            <w:pPr>
              <w:spacing w:before="60" w:after="60"/>
              <w:jc w:val="right"/>
              <w:rPr>
                <w:rFonts w:ascii="Arial" w:hAnsi="Arial" w:cs="Arial"/>
                <w:sz w:val="16"/>
                <w:szCs w:val="16"/>
                <w:lang w:eastAsia="en-NZ"/>
              </w:rPr>
            </w:pPr>
            <w:r w:rsidRPr="0013311A">
              <w:rPr>
                <w:rFonts w:ascii="Arial" w:hAnsi="Arial" w:cs="Arial"/>
                <w:sz w:val="16"/>
                <w:szCs w:val="16"/>
              </w:rPr>
              <w:t>0.209</w:t>
            </w:r>
          </w:p>
        </w:tc>
        <w:tc>
          <w:tcPr>
            <w:tcW w:w="996" w:type="dxa"/>
            <w:tcBorders>
              <w:top w:val="nil"/>
              <w:left w:val="nil"/>
              <w:bottom w:val="single" w:sz="4" w:space="0" w:color="auto"/>
              <w:right w:val="single" w:sz="4" w:space="0" w:color="auto"/>
            </w:tcBorders>
            <w:shd w:val="clear" w:color="auto" w:fill="auto"/>
            <w:noWrap/>
            <w:vAlign w:val="bottom"/>
            <w:hideMark/>
          </w:tcPr>
          <w:p w:rsidR="0027681C" w:rsidRPr="0027681C" w:rsidRDefault="0027681C" w:rsidP="00B6276C">
            <w:pPr>
              <w:spacing w:before="60" w:after="60"/>
              <w:jc w:val="right"/>
              <w:rPr>
                <w:rFonts w:ascii="Arial" w:hAnsi="Arial" w:cs="Arial"/>
                <w:sz w:val="16"/>
                <w:szCs w:val="16"/>
                <w:lang w:eastAsia="en-NZ"/>
              </w:rPr>
            </w:pPr>
            <w:r w:rsidRPr="0013311A">
              <w:rPr>
                <w:rFonts w:ascii="Arial" w:hAnsi="Arial" w:cs="Arial"/>
                <w:sz w:val="16"/>
                <w:szCs w:val="16"/>
              </w:rPr>
              <w:t>0.200</w:t>
            </w:r>
          </w:p>
        </w:tc>
        <w:tc>
          <w:tcPr>
            <w:tcW w:w="996" w:type="dxa"/>
            <w:tcBorders>
              <w:top w:val="nil"/>
              <w:left w:val="nil"/>
              <w:bottom w:val="single" w:sz="4" w:space="0" w:color="auto"/>
              <w:right w:val="single" w:sz="4" w:space="0" w:color="auto"/>
            </w:tcBorders>
            <w:shd w:val="clear" w:color="auto" w:fill="auto"/>
            <w:noWrap/>
            <w:vAlign w:val="bottom"/>
            <w:hideMark/>
          </w:tcPr>
          <w:p w:rsidR="0027681C" w:rsidRPr="0027681C" w:rsidRDefault="0027681C" w:rsidP="00B6276C">
            <w:pPr>
              <w:spacing w:before="60" w:after="60"/>
              <w:jc w:val="right"/>
              <w:rPr>
                <w:rFonts w:ascii="Arial" w:hAnsi="Arial" w:cs="Arial"/>
                <w:sz w:val="16"/>
                <w:szCs w:val="16"/>
                <w:lang w:eastAsia="en-NZ"/>
              </w:rPr>
            </w:pPr>
            <w:r w:rsidRPr="0013311A">
              <w:rPr>
                <w:rFonts w:ascii="Arial" w:hAnsi="Arial" w:cs="Arial"/>
                <w:sz w:val="16"/>
                <w:szCs w:val="16"/>
              </w:rPr>
              <w:t>0.00211</w:t>
            </w:r>
          </w:p>
        </w:tc>
        <w:tc>
          <w:tcPr>
            <w:tcW w:w="996" w:type="dxa"/>
            <w:tcBorders>
              <w:top w:val="nil"/>
              <w:left w:val="nil"/>
              <w:bottom w:val="single" w:sz="4" w:space="0" w:color="auto"/>
              <w:right w:val="single" w:sz="4" w:space="0" w:color="auto"/>
            </w:tcBorders>
            <w:shd w:val="clear" w:color="auto" w:fill="auto"/>
            <w:noWrap/>
            <w:vAlign w:val="bottom"/>
            <w:hideMark/>
          </w:tcPr>
          <w:p w:rsidR="0027681C" w:rsidRPr="0027681C" w:rsidRDefault="0027681C" w:rsidP="00B6276C">
            <w:pPr>
              <w:spacing w:before="60" w:after="60"/>
              <w:jc w:val="right"/>
              <w:rPr>
                <w:rFonts w:ascii="Arial" w:hAnsi="Arial" w:cs="Arial"/>
                <w:sz w:val="16"/>
                <w:szCs w:val="16"/>
                <w:lang w:eastAsia="en-NZ"/>
              </w:rPr>
            </w:pPr>
            <w:r w:rsidRPr="0013311A">
              <w:rPr>
                <w:rFonts w:ascii="Arial" w:hAnsi="Arial" w:cs="Arial"/>
                <w:sz w:val="16"/>
                <w:szCs w:val="16"/>
              </w:rPr>
              <w:t>0.00681</w:t>
            </w:r>
          </w:p>
        </w:tc>
      </w:tr>
    </w:tbl>
    <w:p w:rsidR="00A422EB" w:rsidRDefault="009E3385" w:rsidP="0067451B">
      <w:pPr>
        <w:pStyle w:val="Note"/>
        <w:tabs>
          <w:tab w:val="clear" w:pos="680"/>
        </w:tabs>
        <w:ind w:left="397" w:hanging="397"/>
        <w:jc w:val="left"/>
      </w:pPr>
      <w:r w:rsidRPr="00857043">
        <w:t>*</w:t>
      </w:r>
      <w:r w:rsidR="003D1CA0" w:rsidRPr="00857043">
        <w:tab/>
      </w:r>
      <w:r w:rsidRPr="00857043">
        <w:t>Example (representative) vehicle models for each of the size classes are: Small = Toyota Echo, Medium = Honda Accord, Large = Holden Commodore.</w:t>
      </w:r>
    </w:p>
    <w:p w:rsidR="002064AE" w:rsidRPr="00D863F9" w:rsidRDefault="002064AE" w:rsidP="00332778"/>
    <w:p w:rsidR="00607BFE" w:rsidRPr="00332778" w:rsidRDefault="00607BFE" w:rsidP="0067451B">
      <w:pPr>
        <w:jc w:val="left"/>
        <w:rPr>
          <w:rFonts w:ascii="Arial" w:hAnsi="Arial" w:cs="Arial"/>
          <w:sz w:val="16"/>
          <w:szCs w:val="16"/>
        </w:rPr>
      </w:pPr>
      <w:r w:rsidRPr="00332778">
        <w:rPr>
          <w:rFonts w:ascii="Arial" w:hAnsi="Arial"/>
          <w:sz w:val="16"/>
        </w:rPr>
        <w:t xml:space="preserve">** </w:t>
      </w:r>
      <w:r w:rsidR="002064AE">
        <w:rPr>
          <w:rFonts w:ascii="Arial" w:hAnsi="Arial"/>
          <w:sz w:val="16"/>
        </w:rPr>
        <w:tab/>
      </w:r>
      <w:r w:rsidR="002064AE" w:rsidRPr="00332778">
        <w:rPr>
          <w:rFonts w:ascii="Arial" w:hAnsi="Arial" w:cs="Arial"/>
          <w:sz w:val="16"/>
          <w:szCs w:val="16"/>
        </w:rPr>
        <w:t>Energy Efficiency and Conservation Authority (EECA)</w:t>
      </w:r>
      <w:r w:rsidR="002064AE" w:rsidRPr="00332778" w:rsidDel="002064AE">
        <w:rPr>
          <w:rFonts w:ascii="Arial" w:hAnsi="Arial" w:cs="Arial"/>
          <w:sz w:val="16"/>
          <w:szCs w:val="16"/>
        </w:rPr>
        <w:t xml:space="preserve"> </w:t>
      </w:r>
      <w:r w:rsidR="007303FE" w:rsidRPr="00332778">
        <w:rPr>
          <w:rFonts w:ascii="Arial" w:hAnsi="Arial" w:cs="Arial"/>
          <w:sz w:val="16"/>
          <w:szCs w:val="16"/>
        </w:rPr>
        <w:t>data</w:t>
      </w:r>
    </w:p>
    <w:p w:rsidR="00A422EB" w:rsidRPr="00857043" w:rsidRDefault="009E3385" w:rsidP="0067451B">
      <w:pPr>
        <w:pStyle w:val="Note"/>
        <w:tabs>
          <w:tab w:val="clear" w:pos="680"/>
        </w:tabs>
        <w:ind w:left="397" w:hanging="397"/>
        <w:jc w:val="left"/>
      </w:pPr>
      <w:r w:rsidRPr="00857043">
        <w:t>**</w:t>
      </w:r>
      <w:r w:rsidR="00607BFE">
        <w:t>*</w:t>
      </w:r>
      <w:r w:rsidR="003D1CA0" w:rsidRPr="00857043">
        <w:tab/>
      </w:r>
      <w:r w:rsidRPr="00857043">
        <w:t>The default emission factor should be used if vehicle size class cannot be determined.</w:t>
      </w:r>
    </w:p>
    <w:p w:rsidR="009E3385" w:rsidRPr="00857043" w:rsidRDefault="009E3385" w:rsidP="0067451B">
      <w:pPr>
        <w:pStyle w:val="Heading4"/>
        <w:tabs>
          <w:tab w:val="left" w:pos="2552"/>
        </w:tabs>
        <w:jc w:val="left"/>
      </w:pPr>
      <w:bookmarkStart w:id="119" w:name="_Toc185407829"/>
      <w:r w:rsidRPr="00857043">
        <w:t>Assumptions</w:t>
      </w:r>
      <w:bookmarkEnd w:id="119"/>
    </w:p>
    <w:p w:rsidR="009E3385" w:rsidRPr="00857043" w:rsidRDefault="009E3385" w:rsidP="0067451B">
      <w:pPr>
        <w:jc w:val="left"/>
      </w:pPr>
      <w:r w:rsidRPr="00857043">
        <w:t xml:space="preserve">The above emission factors in </w:t>
      </w:r>
      <w:r w:rsidR="00EB1450" w:rsidRPr="00857043">
        <w:t>table</w:t>
      </w:r>
      <w:r w:rsidR="003D1CA0" w:rsidRPr="00857043">
        <w:t xml:space="preserve"> 3</w:t>
      </w:r>
      <w:r w:rsidRPr="00857043">
        <w:t xml:space="preserve"> assume that all representative vehicles </w:t>
      </w:r>
      <w:r w:rsidR="006551C6">
        <w:t>use</w:t>
      </w:r>
      <w:r w:rsidR="006551C6" w:rsidRPr="00857043">
        <w:t xml:space="preserve"> </w:t>
      </w:r>
      <w:r w:rsidRPr="00857043">
        <w:t xml:space="preserve">petrol. The emission factors are derived by multiplying the default petrol emission factor from </w:t>
      </w:r>
      <w:r w:rsidR="00EB1450" w:rsidRPr="00857043">
        <w:t>table</w:t>
      </w:r>
      <w:r w:rsidRPr="00857043">
        <w:t xml:space="preserve"> 2 by </w:t>
      </w:r>
      <w:r w:rsidR="00EC1311" w:rsidRPr="00857043">
        <w:t>‘</w:t>
      </w:r>
      <w:r w:rsidRPr="00857043">
        <w:t>real world</w:t>
      </w:r>
      <w:r w:rsidR="00EC1311" w:rsidRPr="00857043">
        <w:t>’</w:t>
      </w:r>
      <w:r w:rsidRPr="00857043">
        <w:t xml:space="preserve"> fuel consumption rates</w:t>
      </w:r>
      <w:r w:rsidR="009124A0" w:rsidRPr="00857043">
        <w:rPr>
          <w:rStyle w:val="FootnoteReference"/>
        </w:rPr>
        <w:footnoteReference w:id="7"/>
      </w:r>
      <w:r w:rsidR="009124A0" w:rsidRPr="00857043">
        <w:t xml:space="preserve"> for the petrol light vehicle fleet </w:t>
      </w:r>
      <w:r w:rsidR="00E106FE">
        <w:t>(</w:t>
      </w:r>
      <w:r w:rsidR="009124A0" w:rsidRPr="00857043">
        <w:t xml:space="preserve">based on </w:t>
      </w:r>
      <w:r w:rsidR="009124A0" w:rsidRPr="00857043">
        <w:rPr>
          <w:szCs w:val="22"/>
        </w:rPr>
        <w:t xml:space="preserve">vehicle fleet statistics </w:t>
      </w:r>
      <w:r w:rsidR="009124A0" w:rsidRPr="00857043">
        <w:t>from</w:t>
      </w:r>
      <w:r w:rsidR="009124A0" w:rsidRPr="00857043">
        <w:rPr>
          <w:szCs w:val="22"/>
        </w:rPr>
        <w:t xml:space="preserve"> the Ministry of Transport</w:t>
      </w:r>
      <w:r w:rsidR="00E106FE">
        <w:rPr>
          <w:szCs w:val="22"/>
        </w:rPr>
        <w:t>)</w:t>
      </w:r>
      <w:r w:rsidR="009124A0" w:rsidRPr="00857043">
        <w:t>. ‘Real world’ fuel consumption rates take into account ‘real world’ effects such as driver behaviour. Due to lack of data</w:t>
      </w:r>
      <w:r w:rsidR="006551C6">
        <w:t>,</w:t>
      </w:r>
      <w:r w:rsidR="009124A0" w:rsidRPr="00857043">
        <w:t xml:space="preserve"> it is not currently possible to derive ‘real world’ fuel consumption rates for vehicles which use other fuels (</w:t>
      </w:r>
      <w:proofErr w:type="spellStart"/>
      <w:r w:rsidR="009124A0" w:rsidRPr="00857043">
        <w:t>eg</w:t>
      </w:r>
      <w:proofErr w:type="spellEnd"/>
      <w:r w:rsidR="009124A0" w:rsidRPr="00857043">
        <w:t>, diesel, LPG). The above CO</w:t>
      </w:r>
      <w:r w:rsidR="009124A0" w:rsidRPr="00857043">
        <w:rPr>
          <w:szCs w:val="22"/>
          <w:vertAlign w:val="subscript"/>
        </w:rPr>
        <w:t>2</w:t>
      </w:r>
      <w:r w:rsidR="009124A0" w:rsidRPr="00857043">
        <w:t>-e emission factors should therefore be applied to all vehicles (for which only kilometre travelled information is available), regardless of the type of fuel used.</w:t>
      </w:r>
    </w:p>
    <w:p w:rsidR="00202FEF" w:rsidRPr="00857043" w:rsidRDefault="00202FEF" w:rsidP="0067451B">
      <w:pPr>
        <w:jc w:val="left"/>
      </w:pPr>
    </w:p>
    <w:p w:rsidR="00E15F05" w:rsidRPr="00857043" w:rsidRDefault="009124A0" w:rsidP="0067451B">
      <w:pPr>
        <w:jc w:val="left"/>
      </w:pPr>
      <w:r w:rsidRPr="00857043">
        <w:t>The above emission factors are averages and therefore do not reflect the variability in fuel consumption rates between individual vehicles.</w:t>
      </w:r>
    </w:p>
    <w:p w:rsidR="00E26C3C" w:rsidRPr="00857043" w:rsidRDefault="00E26C3C" w:rsidP="003D1CA0"/>
    <w:p w:rsidR="00EC1311" w:rsidRPr="00857043" w:rsidRDefault="009124A0" w:rsidP="003D1CA0">
      <w:r w:rsidRPr="00857043">
        <w:t>The default emission factor (for vehicles of unknown size) is the same as that for</w:t>
      </w:r>
      <w:r w:rsidR="009723F2">
        <w:t xml:space="preserve"> </w:t>
      </w:r>
      <w:r w:rsidR="001B3D5F">
        <w:t xml:space="preserve">a </w:t>
      </w:r>
      <w:r w:rsidR="009723F2" w:rsidRPr="007102BC">
        <w:t>2000 - &lt;3000</w:t>
      </w:r>
      <w:r w:rsidR="001B3D5F">
        <w:t>cc vehicle</w:t>
      </w:r>
      <w:r w:rsidRPr="00857043">
        <w:t>.</w:t>
      </w:r>
      <w:r w:rsidRPr="00857043">
        <w:rPr>
          <w:rStyle w:val="FootnoteReference"/>
        </w:rPr>
        <w:footnoteReference w:id="8"/>
      </w:r>
    </w:p>
    <w:p w:rsidR="009E3385" w:rsidRPr="00857043" w:rsidRDefault="009E3385" w:rsidP="0033688C"/>
    <w:p w:rsidR="00F24A4B" w:rsidRDefault="00F24A4B">
      <w:pPr>
        <w:jc w:val="left"/>
        <w:rPr>
          <w:rFonts w:ascii="Arial" w:hAnsi="Arial"/>
          <w:b/>
          <w:sz w:val="24"/>
        </w:rPr>
      </w:pPr>
      <w:bookmarkStart w:id="120" w:name="_Toc185407830"/>
      <w:r>
        <w:br w:type="page"/>
      </w:r>
    </w:p>
    <w:p w:rsidR="009E3385" w:rsidRPr="00857043" w:rsidRDefault="009124A0" w:rsidP="0033688C">
      <w:pPr>
        <w:pStyle w:val="Heading4"/>
      </w:pPr>
      <w:r w:rsidRPr="00857043">
        <w:lastRenderedPageBreak/>
        <w:t>Example calculation</w:t>
      </w:r>
      <w:bookmarkEnd w:id="120"/>
      <w:r w:rsidR="00942C92">
        <w:t>*</w:t>
      </w:r>
    </w:p>
    <w:p w:rsidR="009E3385" w:rsidRPr="00857043" w:rsidRDefault="009124A0" w:rsidP="0033688C">
      <w:r w:rsidRPr="00857043">
        <w:t xml:space="preserve">An organisation has three vehicles which it owns. They are all </w:t>
      </w:r>
      <w:r w:rsidR="00E41E9A">
        <w:t xml:space="preserve">between 1600 and 2000 cc </w:t>
      </w:r>
      <w:r w:rsidRPr="00857043">
        <w:t>and travelled a total of 37,800 km in 201</w:t>
      </w:r>
      <w:r w:rsidR="00D03BE0">
        <w:t>6</w:t>
      </w:r>
      <w:r w:rsidRPr="00857043">
        <w:t>.</w:t>
      </w:r>
    </w:p>
    <w:p w:rsidR="00EC1311" w:rsidRPr="00857043" w:rsidRDefault="009124A0" w:rsidP="0033688C">
      <w:pPr>
        <w:spacing w:before="120"/>
        <w:ind w:left="397"/>
      </w:pPr>
      <w:r w:rsidRPr="00857043">
        <w:t>CO</w:t>
      </w:r>
      <w:r w:rsidRPr="00857043">
        <w:rPr>
          <w:vertAlign w:val="subscript"/>
        </w:rPr>
        <w:t>2</w:t>
      </w:r>
      <w:r w:rsidRPr="00857043">
        <w:t xml:space="preserve"> emissions = 37,800</w:t>
      </w:r>
      <w:r w:rsidR="00207431">
        <w:t xml:space="preserve"> x</w:t>
      </w:r>
      <w:r w:rsidRPr="00857043">
        <w:t xml:space="preserve"> </w:t>
      </w:r>
      <w:r w:rsidR="00857043">
        <w:t>0.</w:t>
      </w:r>
      <w:r w:rsidR="00E41E9A">
        <w:t>200</w:t>
      </w:r>
      <w:r w:rsidRPr="00857043">
        <w:t xml:space="preserve"> = </w:t>
      </w:r>
      <w:r w:rsidR="007A588D">
        <w:t>7,560</w:t>
      </w:r>
      <w:r w:rsidR="007E66A5">
        <w:t xml:space="preserve"> </w:t>
      </w:r>
      <w:r w:rsidRPr="00857043">
        <w:t>kg CO</w:t>
      </w:r>
      <w:r w:rsidRPr="00857043">
        <w:rPr>
          <w:vertAlign w:val="subscript"/>
        </w:rPr>
        <w:t>2</w:t>
      </w:r>
    </w:p>
    <w:p w:rsidR="00EC1311" w:rsidRPr="00857043" w:rsidRDefault="009124A0" w:rsidP="0033688C">
      <w:pPr>
        <w:ind w:left="397"/>
      </w:pPr>
      <w:r w:rsidRPr="00857043">
        <w:t>CH</w:t>
      </w:r>
      <w:r w:rsidRPr="00857043">
        <w:rPr>
          <w:vertAlign w:val="subscript"/>
        </w:rPr>
        <w:t>4</w:t>
      </w:r>
      <w:r w:rsidRPr="00857043">
        <w:t xml:space="preserve"> emissions = 37,800</w:t>
      </w:r>
      <w:r w:rsidR="00207431">
        <w:t xml:space="preserve"> x</w:t>
      </w:r>
      <w:r w:rsidRPr="00857043">
        <w:t xml:space="preserve"> 0.00</w:t>
      </w:r>
      <w:r w:rsidR="008B3A28">
        <w:t>211</w:t>
      </w:r>
      <w:r w:rsidRPr="00857043">
        <w:t xml:space="preserve">= </w:t>
      </w:r>
      <w:r w:rsidR="00EF6483">
        <w:t>79.76</w:t>
      </w:r>
      <w:r w:rsidRPr="00857043">
        <w:t xml:space="preserve"> kg CO</w:t>
      </w:r>
      <w:r w:rsidRPr="00857043">
        <w:rPr>
          <w:vertAlign w:val="subscript"/>
        </w:rPr>
        <w:t>2</w:t>
      </w:r>
      <w:r w:rsidRPr="00857043">
        <w:t>-e</w:t>
      </w:r>
    </w:p>
    <w:p w:rsidR="00EC1311" w:rsidRPr="00857043" w:rsidRDefault="009124A0" w:rsidP="0033688C">
      <w:pPr>
        <w:ind w:left="397"/>
      </w:pPr>
      <w:r w:rsidRPr="00857043">
        <w:t>N</w:t>
      </w:r>
      <w:r w:rsidRPr="00857043">
        <w:rPr>
          <w:vertAlign w:val="subscript"/>
        </w:rPr>
        <w:t>2</w:t>
      </w:r>
      <w:r w:rsidRPr="00857043">
        <w:t>O emissions = 37,800</w:t>
      </w:r>
      <w:r w:rsidR="00207431">
        <w:t xml:space="preserve"> x</w:t>
      </w:r>
      <w:r w:rsidRPr="00857043">
        <w:t xml:space="preserve"> 0.00</w:t>
      </w:r>
      <w:r w:rsidR="007A588D">
        <w:t>681</w:t>
      </w:r>
      <w:r w:rsidRPr="00857043">
        <w:t xml:space="preserve">= </w:t>
      </w:r>
      <w:r w:rsidR="00326D5D">
        <w:t>257.4</w:t>
      </w:r>
      <w:r w:rsidRPr="00857043">
        <w:t xml:space="preserve"> kg CO</w:t>
      </w:r>
      <w:r w:rsidRPr="00857043">
        <w:rPr>
          <w:vertAlign w:val="subscript"/>
        </w:rPr>
        <w:t>2</w:t>
      </w:r>
      <w:r w:rsidRPr="00857043">
        <w:t>-e</w:t>
      </w:r>
    </w:p>
    <w:p w:rsidR="00EC1311" w:rsidRDefault="009124A0" w:rsidP="0033688C">
      <w:pPr>
        <w:ind w:left="397"/>
      </w:pPr>
      <w:r w:rsidRPr="00857043">
        <w:t>Total CO</w:t>
      </w:r>
      <w:r w:rsidRPr="00857043">
        <w:rPr>
          <w:vertAlign w:val="subscript"/>
        </w:rPr>
        <w:t>2</w:t>
      </w:r>
      <w:r w:rsidRPr="00857043">
        <w:t>-e emissions = 37,800</w:t>
      </w:r>
      <w:r w:rsidR="00207431">
        <w:t xml:space="preserve"> x</w:t>
      </w:r>
      <w:r w:rsidRPr="00857043">
        <w:t xml:space="preserve"> 0.</w:t>
      </w:r>
      <w:r w:rsidR="007A588D">
        <w:t>209</w:t>
      </w:r>
      <w:r w:rsidRPr="00857043">
        <w:t xml:space="preserve"> = </w:t>
      </w:r>
      <w:r w:rsidR="00326D5D">
        <w:t>7,900</w:t>
      </w:r>
      <w:r w:rsidRPr="00857043">
        <w:t xml:space="preserve"> kg CO</w:t>
      </w:r>
      <w:r w:rsidRPr="00857043">
        <w:rPr>
          <w:vertAlign w:val="subscript"/>
        </w:rPr>
        <w:t>2</w:t>
      </w:r>
      <w:r w:rsidRPr="00857043">
        <w:t>-e</w:t>
      </w:r>
    </w:p>
    <w:p w:rsidR="00942C92" w:rsidRDefault="00942C92" w:rsidP="0033688C">
      <w:pPr>
        <w:ind w:left="397"/>
      </w:pPr>
    </w:p>
    <w:p w:rsidR="00942C92" w:rsidRDefault="00942C92" w:rsidP="00942C92">
      <w:r>
        <w:t>* note numbers may not add due to rounding</w:t>
      </w:r>
    </w:p>
    <w:p w:rsidR="009E0695" w:rsidRDefault="009E0695" w:rsidP="00942C92"/>
    <w:p w:rsidR="009E0695" w:rsidRPr="00647E14" w:rsidRDefault="009E0695" w:rsidP="009E0695">
      <w:pPr>
        <w:pStyle w:val="Heading3"/>
        <w:rPr>
          <w:rFonts w:cs="Arial"/>
          <w:szCs w:val="24"/>
        </w:rPr>
      </w:pPr>
      <w:bookmarkStart w:id="121" w:name="_Toc469577174"/>
      <w:r>
        <w:t>3.1.4</w:t>
      </w:r>
      <w:r w:rsidRPr="00647E14">
        <w:tab/>
        <w:t>Taxis and rental cars</w:t>
      </w:r>
      <w:bookmarkEnd w:id="121"/>
    </w:p>
    <w:p w:rsidR="009E0695" w:rsidRDefault="009E0695" w:rsidP="0067451B">
      <w:pPr>
        <w:jc w:val="left"/>
      </w:pPr>
      <w:r w:rsidRPr="00647E14">
        <w:t xml:space="preserve">Business travel in taxis and rental cars is likely to be a common source of Scope 3 emissions for most businesses. As with Scope 1 emissions from transport, the most accurate way to calculate emissions is based on fuel consumption data. However, this information may not be easily available, particularly for business travel in taxis. Table </w:t>
      </w:r>
      <w:r w:rsidR="00170066">
        <w:t>4</w:t>
      </w:r>
      <w:r w:rsidRPr="00647E14">
        <w:t xml:space="preserve"> provides emission factors for rental car and taxi travel, based on kilometres travelled, as well as an emission factor for taxi travel based on dollars spent.</w:t>
      </w:r>
    </w:p>
    <w:p w:rsidR="009E0695" w:rsidRDefault="009E0695" w:rsidP="0067451B">
      <w:pPr>
        <w:jc w:val="left"/>
      </w:pPr>
    </w:p>
    <w:p w:rsidR="009E0695" w:rsidRPr="00647E14" w:rsidRDefault="009E0695" w:rsidP="0067451B">
      <w:pPr>
        <w:jc w:val="left"/>
      </w:pPr>
      <w:r>
        <w:t>At this point of time there are no emissions factors available for electric v</w:t>
      </w:r>
      <w:r w:rsidR="0067451B">
        <w:t>ehicles by distance travelled.</w:t>
      </w:r>
    </w:p>
    <w:p w:rsidR="009E0695" w:rsidRDefault="009E0695" w:rsidP="009E0695"/>
    <w:p w:rsidR="009E0695" w:rsidRPr="00647E14" w:rsidRDefault="009E0695" w:rsidP="009E0695">
      <w:pPr>
        <w:pStyle w:val="Table"/>
        <w:ind w:left="0" w:firstLine="0"/>
      </w:pPr>
      <w:bookmarkStart w:id="122" w:name="_Toc469577143"/>
      <w:r>
        <w:t>Table 4</w:t>
      </w:r>
      <w:r w:rsidRPr="00647E14">
        <w:t>:</w:t>
      </w:r>
      <w:r w:rsidRPr="00647E14">
        <w:tab/>
        <w:t>Emission factors for travel in taxis and rental cars</w:t>
      </w:r>
      <w:bookmarkEnd w:id="122"/>
      <w:r w:rsidRPr="00647E14">
        <w:t xml:space="preserve"> </w:t>
      </w:r>
    </w:p>
    <w:tbl>
      <w:tblPr>
        <w:tblW w:w="7376" w:type="dxa"/>
        <w:tblInd w:w="103" w:type="dxa"/>
        <w:tblLook w:val="04A0" w:firstRow="1" w:lastRow="0" w:firstColumn="1" w:lastColumn="0" w:noHBand="0" w:noVBand="1"/>
      </w:tblPr>
      <w:tblGrid>
        <w:gridCol w:w="4400"/>
        <w:gridCol w:w="1275"/>
        <w:gridCol w:w="1701"/>
      </w:tblGrid>
      <w:tr w:rsidR="009E0695" w:rsidRPr="007348D6" w:rsidTr="00BE7840">
        <w:trPr>
          <w:trHeight w:val="1050"/>
        </w:trPr>
        <w:tc>
          <w:tcPr>
            <w:tcW w:w="440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9E0695" w:rsidRPr="001812C8" w:rsidRDefault="009E0695" w:rsidP="000827DD">
            <w:pPr>
              <w:jc w:val="left"/>
              <w:rPr>
                <w:rFonts w:ascii="Arial" w:hAnsi="Arial" w:cs="Arial"/>
                <w:b/>
                <w:sz w:val="16"/>
                <w:szCs w:val="16"/>
                <w:lang w:eastAsia="en-NZ"/>
              </w:rPr>
            </w:pPr>
            <w:r w:rsidRPr="001812C8">
              <w:rPr>
                <w:rFonts w:ascii="Arial" w:hAnsi="Arial" w:cs="Arial"/>
                <w:b/>
                <w:sz w:val="16"/>
                <w:szCs w:val="16"/>
                <w:lang w:eastAsia="en-NZ"/>
              </w:rPr>
              <w:t>Emission Source</w:t>
            </w:r>
          </w:p>
        </w:tc>
        <w:tc>
          <w:tcPr>
            <w:tcW w:w="1275" w:type="dxa"/>
            <w:tcBorders>
              <w:top w:val="single" w:sz="4" w:space="0" w:color="auto"/>
              <w:left w:val="nil"/>
              <w:bottom w:val="single" w:sz="4" w:space="0" w:color="auto"/>
              <w:right w:val="single" w:sz="4" w:space="0" w:color="auto"/>
            </w:tcBorders>
            <w:shd w:val="clear" w:color="000000" w:fill="C0C0C0"/>
            <w:noWrap/>
            <w:vAlign w:val="center"/>
            <w:hideMark/>
          </w:tcPr>
          <w:p w:rsidR="009E0695" w:rsidRPr="001812C8" w:rsidRDefault="009E0695" w:rsidP="000827DD">
            <w:pPr>
              <w:jc w:val="left"/>
              <w:rPr>
                <w:rFonts w:ascii="Arial" w:hAnsi="Arial" w:cs="Arial"/>
                <w:b/>
                <w:sz w:val="16"/>
                <w:szCs w:val="16"/>
                <w:lang w:eastAsia="en-NZ"/>
              </w:rPr>
            </w:pPr>
            <w:r w:rsidRPr="001812C8">
              <w:rPr>
                <w:rFonts w:ascii="Arial" w:hAnsi="Arial" w:cs="Arial"/>
                <w:b/>
                <w:sz w:val="16"/>
                <w:szCs w:val="16"/>
                <w:lang w:eastAsia="en-NZ"/>
              </w:rPr>
              <w:t>Unit</w:t>
            </w:r>
          </w:p>
        </w:tc>
        <w:tc>
          <w:tcPr>
            <w:tcW w:w="1701" w:type="dxa"/>
            <w:tcBorders>
              <w:top w:val="single" w:sz="4" w:space="0" w:color="auto"/>
              <w:left w:val="nil"/>
              <w:bottom w:val="single" w:sz="4" w:space="0" w:color="auto"/>
              <w:right w:val="single" w:sz="4" w:space="0" w:color="auto"/>
            </w:tcBorders>
            <w:shd w:val="clear" w:color="000000" w:fill="C0C0C0"/>
            <w:vAlign w:val="center"/>
            <w:hideMark/>
          </w:tcPr>
          <w:p w:rsidR="009E0695" w:rsidRPr="001812C8" w:rsidRDefault="009E0695" w:rsidP="000827DD">
            <w:pPr>
              <w:jc w:val="left"/>
              <w:rPr>
                <w:rFonts w:ascii="Arial" w:hAnsi="Arial" w:cs="Arial"/>
                <w:b/>
                <w:sz w:val="16"/>
                <w:szCs w:val="16"/>
                <w:lang w:eastAsia="en-NZ"/>
              </w:rPr>
            </w:pPr>
            <w:r w:rsidRPr="001812C8">
              <w:rPr>
                <w:rFonts w:ascii="Arial" w:hAnsi="Arial" w:cs="Arial"/>
                <w:b/>
                <w:sz w:val="16"/>
                <w:szCs w:val="16"/>
                <w:lang w:eastAsia="en-NZ"/>
              </w:rPr>
              <w:t>Emission factor</w:t>
            </w:r>
            <w:r w:rsidRPr="001812C8">
              <w:rPr>
                <w:rFonts w:ascii="Arial" w:hAnsi="Arial" w:cs="Arial"/>
                <w:b/>
                <w:sz w:val="16"/>
                <w:szCs w:val="16"/>
                <w:lang w:eastAsia="en-NZ"/>
              </w:rPr>
              <w:br/>
              <w:t xml:space="preserve">       Total CO2-e</w:t>
            </w:r>
            <w:r w:rsidRPr="001812C8">
              <w:rPr>
                <w:rFonts w:ascii="Arial" w:hAnsi="Arial" w:cs="Arial"/>
                <w:b/>
                <w:sz w:val="16"/>
                <w:szCs w:val="16"/>
                <w:lang w:eastAsia="en-NZ"/>
              </w:rPr>
              <w:br/>
              <w:t>(kg CO2-e/unit)</w:t>
            </w:r>
          </w:p>
        </w:tc>
      </w:tr>
      <w:tr w:rsidR="009E0695" w:rsidRPr="007348D6" w:rsidTr="00BE7840">
        <w:trPr>
          <w:trHeight w:val="255"/>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9E0695" w:rsidRPr="00CB6402" w:rsidRDefault="009E0695" w:rsidP="00981B30">
            <w:pPr>
              <w:jc w:val="left"/>
              <w:rPr>
                <w:rFonts w:ascii="Arial" w:hAnsi="Arial" w:cs="Arial"/>
                <w:sz w:val="16"/>
                <w:szCs w:val="16"/>
                <w:lang w:eastAsia="en-NZ"/>
              </w:rPr>
            </w:pPr>
            <w:r w:rsidRPr="00CB6402">
              <w:rPr>
                <w:rFonts w:ascii="Arial" w:hAnsi="Arial" w:cs="Arial"/>
                <w:sz w:val="16"/>
                <w:szCs w:val="16"/>
                <w:lang w:eastAsia="en-NZ"/>
              </w:rPr>
              <w:t>Rental car - (&lt;1350 cc)</w:t>
            </w:r>
          </w:p>
        </w:tc>
        <w:tc>
          <w:tcPr>
            <w:tcW w:w="1275" w:type="dxa"/>
            <w:tcBorders>
              <w:top w:val="nil"/>
              <w:left w:val="nil"/>
              <w:bottom w:val="single" w:sz="4" w:space="0" w:color="auto"/>
              <w:right w:val="single" w:sz="4" w:space="0" w:color="auto"/>
            </w:tcBorders>
            <w:shd w:val="clear" w:color="auto" w:fill="auto"/>
            <w:noWrap/>
            <w:vAlign w:val="bottom"/>
            <w:hideMark/>
          </w:tcPr>
          <w:p w:rsidR="009E0695" w:rsidRPr="00CB6402" w:rsidRDefault="009E0695" w:rsidP="001812C8">
            <w:pPr>
              <w:jc w:val="left"/>
              <w:rPr>
                <w:rFonts w:ascii="Arial" w:hAnsi="Arial" w:cs="Arial"/>
                <w:sz w:val="16"/>
                <w:szCs w:val="16"/>
                <w:lang w:eastAsia="en-NZ"/>
              </w:rPr>
            </w:pPr>
            <w:r w:rsidRPr="00CB6402">
              <w:rPr>
                <w:rFonts w:ascii="Arial" w:hAnsi="Arial" w:cs="Arial"/>
                <w:sz w:val="16"/>
                <w:szCs w:val="16"/>
                <w:lang w:eastAsia="en-NZ"/>
              </w:rPr>
              <w:t>Km</w:t>
            </w:r>
          </w:p>
        </w:tc>
        <w:tc>
          <w:tcPr>
            <w:tcW w:w="1701" w:type="dxa"/>
            <w:tcBorders>
              <w:top w:val="nil"/>
              <w:left w:val="nil"/>
              <w:bottom w:val="single" w:sz="4" w:space="0" w:color="auto"/>
              <w:right w:val="single" w:sz="4" w:space="0" w:color="auto"/>
            </w:tcBorders>
            <w:shd w:val="clear" w:color="auto" w:fill="auto"/>
            <w:noWrap/>
            <w:vAlign w:val="bottom"/>
            <w:hideMark/>
          </w:tcPr>
          <w:p w:rsidR="009E0695" w:rsidRPr="00CB6402" w:rsidRDefault="009E0695" w:rsidP="00981B30">
            <w:pPr>
              <w:jc w:val="right"/>
              <w:rPr>
                <w:rFonts w:ascii="Arial" w:hAnsi="Arial" w:cs="Arial"/>
                <w:sz w:val="16"/>
                <w:szCs w:val="16"/>
                <w:lang w:eastAsia="en-NZ"/>
              </w:rPr>
            </w:pPr>
            <w:r w:rsidRPr="00CB6402">
              <w:rPr>
                <w:rFonts w:ascii="Arial" w:hAnsi="Arial" w:cs="Arial"/>
                <w:sz w:val="16"/>
                <w:szCs w:val="16"/>
              </w:rPr>
              <w:t>0.198</w:t>
            </w:r>
          </w:p>
        </w:tc>
      </w:tr>
      <w:tr w:rsidR="009E0695" w:rsidRPr="007348D6" w:rsidTr="00BE7840">
        <w:trPr>
          <w:trHeight w:val="255"/>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9E0695" w:rsidRPr="00CB6402" w:rsidRDefault="009E0695" w:rsidP="00981B30">
            <w:pPr>
              <w:jc w:val="left"/>
              <w:rPr>
                <w:rFonts w:ascii="Arial" w:hAnsi="Arial" w:cs="Arial"/>
                <w:sz w:val="16"/>
                <w:szCs w:val="16"/>
                <w:lang w:eastAsia="en-NZ"/>
              </w:rPr>
            </w:pPr>
            <w:r w:rsidRPr="00CB6402">
              <w:rPr>
                <w:rFonts w:ascii="Arial" w:hAnsi="Arial" w:cs="Arial"/>
                <w:sz w:val="16"/>
                <w:szCs w:val="16"/>
                <w:lang w:eastAsia="en-NZ"/>
              </w:rPr>
              <w:t>Rental car - (1350 - &lt;1600 cc)</w:t>
            </w:r>
          </w:p>
        </w:tc>
        <w:tc>
          <w:tcPr>
            <w:tcW w:w="1275" w:type="dxa"/>
            <w:tcBorders>
              <w:top w:val="nil"/>
              <w:left w:val="nil"/>
              <w:bottom w:val="single" w:sz="4" w:space="0" w:color="auto"/>
              <w:right w:val="single" w:sz="4" w:space="0" w:color="auto"/>
            </w:tcBorders>
            <w:shd w:val="clear" w:color="auto" w:fill="auto"/>
            <w:noWrap/>
            <w:vAlign w:val="bottom"/>
            <w:hideMark/>
          </w:tcPr>
          <w:p w:rsidR="009E0695" w:rsidRPr="00CB6402" w:rsidRDefault="009E0695" w:rsidP="001812C8">
            <w:pPr>
              <w:jc w:val="left"/>
              <w:rPr>
                <w:rFonts w:ascii="Arial" w:hAnsi="Arial" w:cs="Arial"/>
                <w:sz w:val="16"/>
                <w:szCs w:val="16"/>
                <w:lang w:eastAsia="en-NZ"/>
              </w:rPr>
            </w:pPr>
            <w:r w:rsidRPr="00CB6402">
              <w:rPr>
                <w:rFonts w:ascii="Arial" w:hAnsi="Arial" w:cs="Arial"/>
                <w:sz w:val="16"/>
                <w:szCs w:val="16"/>
                <w:lang w:eastAsia="en-NZ"/>
              </w:rPr>
              <w:t>Km</w:t>
            </w:r>
          </w:p>
        </w:tc>
        <w:tc>
          <w:tcPr>
            <w:tcW w:w="1701" w:type="dxa"/>
            <w:tcBorders>
              <w:top w:val="nil"/>
              <w:left w:val="nil"/>
              <w:bottom w:val="single" w:sz="4" w:space="0" w:color="auto"/>
              <w:right w:val="single" w:sz="4" w:space="0" w:color="auto"/>
            </w:tcBorders>
            <w:shd w:val="clear" w:color="auto" w:fill="auto"/>
            <w:noWrap/>
            <w:vAlign w:val="bottom"/>
            <w:hideMark/>
          </w:tcPr>
          <w:p w:rsidR="009E0695" w:rsidRPr="00CB6402" w:rsidRDefault="009E0695" w:rsidP="00981B30">
            <w:pPr>
              <w:jc w:val="right"/>
              <w:rPr>
                <w:rFonts w:ascii="Arial" w:hAnsi="Arial" w:cs="Arial"/>
                <w:sz w:val="16"/>
                <w:szCs w:val="16"/>
                <w:lang w:eastAsia="en-NZ"/>
              </w:rPr>
            </w:pPr>
            <w:r w:rsidRPr="00CB6402">
              <w:rPr>
                <w:rFonts w:ascii="Arial" w:hAnsi="Arial" w:cs="Arial"/>
                <w:sz w:val="16"/>
                <w:szCs w:val="16"/>
              </w:rPr>
              <w:t>0.190</w:t>
            </w:r>
          </w:p>
        </w:tc>
      </w:tr>
      <w:tr w:rsidR="009E0695" w:rsidRPr="007348D6" w:rsidTr="00BE7840">
        <w:trPr>
          <w:trHeight w:val="255"/>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9E0695" w:rsidRPr="00CB6402" w:rsidRDefault="009E0695" w:rsidP="00981B30">
            <w:pPr>
              <w:jc w:val="left"/>
              <w:rPr>
                <w:rFonts w:ascii="Arial" w:hAnsi="Arial" w:cs="Arial"/>
                <w:sz w:val="16"/>
                <w:szCs w:val="16"/>
                <w:lang w:eastAsia="en-NZ"/>
              </w:rPr>
            </w:pPr>
            <w:r w:rsidRPr="00CB6402">
              <w:rPr>
                <w:rFonts w:ascii="Arial" w:hAnsi="Arial" w:cs="Arial"/>
                <w:sz w:val="16"/>
                <w:szCs w:val="16"/>
                <w:lang w:eastAsia="en-NZ"/>
              </w:rPr>
              <w:t>Rental car -  (1600 - &lt;2000 cc)</w:t>
            </w:r>
          </w:p>
        </w:tc>
        <w:tc>
          <w:tcPr>
            <w:tcW w:w="1275" w:type="dxa"/>
            <w:tcBorders>
              <w:top w:val="nil"/>
              <w:left w:val="nil"/>
              <w:bottom w:val="single" w:sz="4" w:space="0" w:color="auto"/>
              <w:right w:val="single" w:sz="4" w:space="0" w:color="auto"/>
            </w:tcBorders>
            <w:shd w:val="clear" w:color="auto" w:fill="auto"/>
            <w:noWrap/>
            <w:vAlign w:val="bottom"/>
            <w:hideMark/>
          </w:tcPr>
          <w:p w:rsidR="009E0695" w:rsidRPr="00CB6402" w:rsidRDefault="009E0695" w:rsidP="001812C8">
            <w:pPr>
              <w:jc w:val="left"/>
              <w:rPr>
                <w:rFonts w:ascii="Arial" w:hAnsi="Arial" w:cs="Arial"/>
                <w:sz w:val="16"/>
                <w:szCs w:val="16"/>
                <w:lang w:eastAsia="en-NZ"/>
              </w:rPr>
            </w:pPr>
            <w:r w:rsidRPr="00CB6402">
              <w:rPr>
                <w:rFonts w:ascii="Arial" w:hAnsi="Arial" w:cs="Arial"/>
                <w:sz w:val="16"/>
                <w:szCs w:val="16"/>
                <w:lang w:eastAsia="en-NZ"/>
              </w:rPr>
              <w:t>Km</w:t>
            </w:r>
          </w:p>
        </w:tc>
        <w:tc>
          <w:tcPr>
            <w:tcW w:w="1701" w:type="dxa"/>
            <w:tcBorders>
              <w:top w:val="nil"/>
              <w:left w:val="nil"/>
              <w:bottom w:val="single" w:sz="4" w:space="0" w:color="auto"/>
              <w:right w:val="single" w:sz="4" w:space="0" w:color="auto"/>
            </w:tcBorders>
            <w:shd w:val="clear" w:color="auto" w:fill="auto"/>
            <w:noWrap/>
            <w:vAlign w:val="bottom"/>
            <w:hideMark/>
          </w:tcPr>
          <w:p w:rsidR="009E0695" w:rsidRPr="00CB6402" w:rsidRDefault="009E0695" w:rsidP="00981B30">
            <w:pPr>
              <w:jc w:val="right"/>
              <w:rPr>
                <w:rFonts w:ascii="Arial" w:hAnsi="Arial" w:cs="Arial"/>
                <w:sz w:val="16"/>
                <w:szCs w:val="16"/>
                <w:lang w:eastAsia="en-NZ"/>
              </w:rPr>
            </w:pPr>
            <w:r w:rsidRPr="00CB6402">
              <w:rPr>
                <w:rFonts w:ascii="Arial" w:hAnsi="Arial" w:cs="Arial"/>
                <w:sz w:val="16"/>
                <w:szCs w:val="16"/>
              </w:rPr>
              <w:t>0.209</w:t>
            </w:r>
          </w:p>
        </w:tc>
      </w:tr>
      <w:tr w:rsidR="009E0695" w:rsidRPr="007348D6" w:rsidTr="00BE7840">
        <w:trPr>
          <w:trHeight w:val="255"/>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9E0695" w:rsidRPr="00CB6402" w:rsidRDefault="009E0695" w:rsidP="00981B30">
            <w:pPr>
              <w:jc w:val="left"/>
              <w:rPr>
                <w:rFonts w:ascii="Arial" w:hAnsi="Arial" w:cs="Arial"/>
                <w:sz w:val="16"/>
                <w:szCs w:val="16"/>
                <w:lang w:eastAsia="en-NZ"/>
              </w:rPr>
            </w:pPr>
            <w:r w:rsidRPr="00CB6402">
              <w:rPr>
                <w:rFonts w:ascii="Arial" w:hAnsi="Arial" w:cs="Arial"/>
                <w:sz w:val="16"/>
                <w:szCs w:val="16"/>
                <w:lang w:eastAsia="en-NZ"/>
              </w:rPr>
              <w:t>Rental Car -  (2000 - &lt;3000 cc)</w:t>
            </w:r>
          </w:p>
        </w:tc>
        <w:tc>
          <w:tcPr>
            <w:tcW w:w="1275" w:type="dxa"/>
            <w:tcBorders>
              <w:top w:val="nil"/>
              <w:left w:val="nil"/>
              <w:bottom w:val="single" w:sz="4" w:space="0" w:color="auto"/>
              <w:right w:val="single" w:sz="4" w:space="0" w:color="auto"/>
            </w:tcBorders>
            <w:shd w:val="clear" w:color="auto" w:fill="auto"/>
            <w:noWrap/>
            <w:vAlign w:val="bottom"/>
            <w:hideMark/>
          </w:tcPr>
          <w:p w:rsidR="009E0695" w:rsidRPr="00CB6402" w:rsidRDefault="009E0695" w:rsidP="001812C8">
            <w:pPr>
              <w:jc w:val="left"/>
              <w:rPr>
                <w:rFonts w:ascii="Arial" w:hAnsi="Arial" w:cs="Arial"/>
                <w:sz w:val="16"/>
                <w:szCs w:val="16"/>
                <w:lang w:eastAsia="en-NZ"/>
              </w:rPr>
            </w:pPr>
            <w:r w:rsidRPr="00CB6402">
              <w:rPr>
                <w:rFonts w:ascii="Arial" w:hAnsi="Arial" w:cs="Arial"/>
                <w:sz w:val="16"/>
                <w:szCs w:val="16"/>
                <w:lang w:eastAsia="en-NZ"/>
              </w:rPr>
              <w:t>Km</w:t>
            </w:r>
          </w:p>
        </w:tc>
        <w:tc>
          <w:tcPr>
            <w:tcW w:w="1701" w:type="dxa"/>
            <w:tcBorders>
              <w:top w:val="nil"/>
              <w:left w:val="nil"/>
              <w:bottom w:val="single" w:sz="4" w:space="0" w:color="auto"/>
              <w:right w:val="single" w:sz="4" w:space="0" w:color="auto"/>
            </w:tcBorders>
            <w:shd w:val="clear" w:color="auto" w:fill="auto"/>
            <w:noWrap/>
            <w:vAlign w:val="bottom"/>
            <w:hideMark/>
          </w:tcPr>
          <w:p w:rsidR="009E0695" w:rsidRPr="00CB6402" w:rsidRDefault="009E0695" w:rsidP="00981B30">
            <w:pPr>
              <w:jc w:val="right"/>
              <w:rPr>
                <w:rFonts w:ascii="Arial" w:hAnsi="Arial" w:cs="Arial"/>
                <w:sz w:val="16"/>
                <w:szCs w:val="16"/>
                <w:lang w:eastAsia="en-NZ"/>
              </w:rPr>
            </w:pPr>
            <w:r w:rsidRPr="00CB6402">
              <w:rPr>
                <w:rFonts w:ascii="Arial" w:hAnsi="Arial" w:cs="Arial"/>
                <w:sz w:val="16"/>
                <w:szCs w:val="16"/>
              </w:rPr>
              <w:t>0.237</w:t>
            </w:r>
          </w:p>
        </w:tc>
      </w:tr>
      <w:tr w:rsidR="009E0695" w:rsidRPr="007348D6" w:rsidTr="00F576DC">
        <w:trPr>
          <w:trHeight w:val="255"/>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9E0695" w:rsidRPr="00CB6402" w:rsidRDefault="009E0695" w:rsidP="00981B30">
            <w:pPr>
              <w:jc w:val="left"/>
              <w:rPr>
                <w:rFonts w:ascii="Arial" w:hAnsi="Arial" w:cs="Arial"/>
                <w:sz w:val="16"/>
                <w:szCs w:val="16"/>
                <w:lang w:eastAsia="en-NZ"/>
              </w:rPr>
            </w:pPr>
            <w:r w:rsidRPr="00CB6402">
              <w:rPr>
                <w:rFonts w:ascii="Arial" w:hAnsi="Arial" w:cs="Arial"/>
                <w:sz w:val="16"/>
                <w:szCs w:val="16"/>
                <w:lang w:eastAsia="en-NZ"/>
              </w:rPr>
              <w:t>Rental car -  (3000 - &lt;4000 cc)</w:t>
            </w:r>
          </w:p>
        </w:tc>
        <w:tc>
          <w:tcPr>
            <w:tcW w:w="1275" w:type="dxa"/>
            <w:tcBorders>
              <w:top w:val="nil"/>
              <w:left w:val="nil"/>
              <w:bottom w:val="single" w:sz="4" w:space="0" w:color="auto"/>
              <w:right w:val="single" w:sz="4" w:space="0" w:color="auto"/>
            </w:tcBorders>
            <w:shd w:val="clear" w:color="auto" w:fill="auto"/>
            <w:noWrap/>
            <w:vAlign w:val="bottom"/>
            <w:hideMark/>
          </w:tcPr>
          <w:p w:rsidR="009E0695" w:rsidRPr="00CB6402" w:rsidRDefault="009E0695" w:rsidP="001812C8">
            <w:pPr>
              <w:jc w:val="left"/>
              <w:rPr>
                <w:rFonts w:ascii="Arial" w:hAnsi="Arial" w:cs="Arial"/>
                <w:sz w:val="16"/>
                <w:szCs w:val="16"/>
                <w:lang w:eastAsia="en-NZ"/>
              </w:rPr>
            </w:pPr>
            <w:r w:rsidRPr="00CB6402">
              <w:rPr>
                <w:rFonts w:ascii="Arial" w:hAnsi="Arial" w:cs="Arial"/>
                <w:sz w:val="16"/>
                <w:szCs w:val="16"/>
                <w:lang w:eastAsia="en-NZ"/>
              </w:rPr>
              <w:t>Km</w:t>
            </w:r>
          </w:p>
        </w:tc>
        <w:tc>
          <w:tcPr>
            <w:tcW w:w="1701" w:type="dxa"/>
            <w:tcBorders>
              <w:top w:val="nil"/>
              <w:left w:val="nil"/>
              <w:bottom w:val="single" w:sz="4" w:space="0" w:color="auto"/>
              <w:right w:val="single" w:sz="4" w:space="0" w:color="auto"/>
            </w:tcBorders>
            <w:shd w:val="clear" w:color="auto" w:fill="auto"/>
            <w:noWrap/>
            <w:vAlign w:val="bottom"/>
            <w:hideMark/>
          </w:tcPr>
          <w:p w:rsidR="009E0695" w:rsidRPr="00CB6402" w:rsidRDefault="00F576DC" w:rsidP="00F576DC">
            <w:pPr>
              <w:jc w:val="right"/>
              <w:rPr>
                <w:rFonts w:ascii="Arial" w:hAnsi="Arial" w:cs="Arial"/>
                <w:sz w:val="16"/>
                <w:szCs w:val="16"/>
                <w:lang w:eastAsia="en-NZ"/>
              </w:rPr>
            </w:pPr>
            <w:r w:rsidRPr="00F576DC">
              <w:rPr>
                <w:rFonts w:ascii="Arial" w:hAnsi="Arial" w:cs="Arial"/>
                <w:sz w:val="16"/>
                <w:szCs w:val="16"/>
                <w:lang w:eastAsia="en-NZ"/>
              </w:rPr>
              <w:t>0.278</w:t>
            </w:r>
          </w:p>
        </w:tc>
      </w:tr>
      <w:tr w:rsidR="009E0695" w:rsidRPr="007348D6" w:rsidTr="00BE7840">
        <w:trPr>
          <w:trHeight w:val="255"/>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9E0695" w:rsidRPr="00CB6402" w:rsidRDefault="009E0695" w:rsidP="00981B30">
            <w:pPr>
              <w:jc w:val="left"/>
              <w:rPr>
                <w:rFonts w:ascii="Arial" w:hAnsi="Arial" w:cs="Arial"/>
                <w:sz w:val="16"/>
                <w:szCs w:val="16"/>
                <w:lang w:eastAsia="en-NZ"/>
              </w:rPr>
            </w:pPr>
            <w:r w:rsidRPr="00CB6402">
              <w:rPr>
                <w:rFonts w:ascii="Arial" w:hAnsi="Arial" w:cs="Arial"/>
                <w:sz w:val="16"/>
                <w:szCs w:val="16"/>
                <w:lang w:eastAsia="en-NZ"/>
              </w:rPr>
              <w:t>Rental car - Petrol hybrid (&lt;2000cc)</w:t>
            </w:r>
          </w:p>
        </w:tc>
        <w:tc>
          <w:tcPr>
            <w:tcW w:w="1275" w:type="dxa"/>
            <w:tcBorders>
              <w:top w:val="nil"/>
              <w:left w:val="nil"/>
              <w:bottom w:val="single" w:sz="4" w:space="0" w:color="auto"/>
              <w:right w:val="single" w:sz="4" w:space="0" w:color="auto"/>
            </w:tcBorders>
            <w:shd w:val="clear" w:color="auto" w:fill="auto"/>
            <w:noWrap/>
            <w:vAlign w:val="bottom"/>
            <w:hideMark/>
          </w:tcPr>
          <w:p w:rsidR="009E0695" w:rsidRPr="00CB6402" w:rsidRDefault="009E0695" w:rsidP="001812C8">
            <w:pPr>
              <w:jc w:val="left"/>
              <w:rPr>
                <w:rFonts w:ascii="Arial" w:hAnsi="Arial" w:cs="Arial"/>
                <w:sz w:val="16"/>
                <w:szCs w:val="16"/>
                <w:lang w:eastAsia="en-NZ"/>
              </w:rPr>
            </w:pPr>
            <w:r w:rsidRPr="00CB6402">
              <w:rPr>
                <w:rFonts w:ascii="Arial" w:hAnsi="Arial" w:cs="Arial"/>
                <w:sz w:val="16"/>
                <w:szCs w:val="16"/>
                <w:lang w:eastAsia="en-NZ"/>
              </w:rPr>
              <w:t>Km</w:t>
            </w:r>
          </w:p>
        </w:tc>
        <w:tc>
          <w:tcPr>
            <w:tcW w:w="1701" w:type="dxa"/>
            <w:tcBorders>
              <w:top w:val="nil"/>
              <w:left w:val="nil"/>
              <w:bottom w:val="single" w:sz="4" w:space="0" w:color="auto"/>
              <w:right w:val="single" w:sz="4" w:space="0" w:color="auto"/>
            </w:tcBorders>
            <w:shd w:val="clear" w:color="auto" w:fill="auto"/>
            <w:noWrap/>
            <w:vAlign w:val="bottom"/>
            <w:hideMark/>
          </w:tcPr>
          <w:p w:rsidR="009E0695" w:rsidRPr="00CB6402" w:rsidRDefault="009E0695" w:rsidP="00981B30">
            <w:pPr>
              <w:jc w:val="right"/>
              <w:rPr>
                <w:rFonts w:ascii="Arial" w:hAnsi="Arial" w:cs="Arial"/>
                <w:sz w:val="16"/>
                <w:szCs w:val="16"/>
                <w:lang w:eastAsia="en-NZ"/>
              </w:rPr>
            </w:pPr>
            <w:r w:rsidRPr="00CB6402">
              <w:rPr>
                <w:rFonts w:ascii="Arial" w:hAnsi="Arial" w:cs="Arial"/>
                <w:sz w:val="16"/>
                <w:szCs w:val="16"/>
              </w:rPr>
              <w:t>0.102</w:t>
            </w:r>
          </w:p>
        </w:tc>
      </w:tr>
      <w:tr w:rsidR="009E0695" w:rsidRPr="007348D6" w:rsidTr="00BE7840">
        <w:trPr>
          <w:trHeight w:val="255"/>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9E0695" w:rsidRPr="00CB6402" w:rsidRDefault="009E0695" w:rsidP="00981B30">
            <w:pPr>
              <w:jc w:val="left"/>
              <w:rPr>
                <w:rFonts w:ascii="Arial" w:hAnsi="Arial" w:cs="Arial"/>
                <w:sz w:val="16"/>
                <w:szCs w:val="16"/>
                <w:lang w:eastAsia="en-NZ"/>
              </w:rPr>
            </w:pPr>
            <w:r w:rsidRPr="00CB6402">
              <w:rPr>
                <w:rFonts w:ascii="Arial" w:hAnsi="Arial" w:cs="Arial"/>
                <w:sz w:val="16"/>
                <w:szCs w:val="16"/>
                <w:lang w:eastAsia="en-NZ"/>
              </w:rPr>
              <w:t>Rental car - Petrol hybrid (2000- &lt;4000cc)</w:t>
            </w:r>
          </w:p>
        </w:tc>
        <w:tc>
          <w:tcPr>
            <w:tcW w:w="1275" w:type="dxa"/>
            <w:tcBorders>
              <w:top w:val="nil"/>
              <w:left w:val="nil"/>
              <w:bottom w:val="single" w:sz="4" w:space="0" w:color="auto"/>
              <w:right w:val="single" w:sz="4" w:space="0" w:color="auto"/>
            </w:tcBorders>
            <w:shd w:val="clear" w:color="auto" w:fill="auto"/>
            <w:noWrap/>
            <w:vAlign w:val="bottom"/>
            <w:hideMark/>
          </w:tcPr>
          <w:p w:rsidR="009E0695" w:rsidRPr="00CB6402" w:rsidRDefault="009E0695" w:rsidP="001812C8">
            <w:pPr>
              <w:jc w:val="left"/>
              <w:rPr>
                <w:rFonts w:ascii="Arial" w:hAnsi="Arial" w:cs="Arial"/>
                <w:sz w:val="16"/>
                <w:szCs w:val="16"/>
                <w:lang w:eastAsia="en-NZ"/>
              </w:rPr>
            </w:pPr>
            <w:r w:rsidRPr="00CB6402">
              <w:rPr>
                <w:rFonts w:ascii="Arial" w:hAnsi="Arial" w:cs="Arial"/>
                <w:sz w:val="16"/>
                <w:szCs w:val="16"/>
                <w:lang w:eastAsia="en-NZ"/>
              </w:rPr>
              <w:t>Km</w:t>
            </w:r>
          </w:p>
        </w:tc>
        <w:tc>
          <w:tcPr>
            <w:tcW w:w="1701" w:type="dxa"/>
            <w:tcBorders>
              <w:top w:val="nil"/>
              <w:left w:val="nil"/>
              <w:bottom w:val="single" w:sz="4" w:space="0" w:color="auto"/>
              <w:right w:val="single" w:sz="4" w:space="0" w:color="auto"/>
            </w:tcBorders>
            <w:shd w:val="clear" w:color="auto" w:fill="auto"/>
            <w:noWrap/>
            <w:vAlign w:val="bottom"/>
            <w:hideMark/>
          </w:tcPr>
          <w:p w:rsidR="009E0695" w:rsidRPr="00CB6402" w:rsidRDefault="009E0695" w:rsidP="00981B30">
            <w:pPr>
              <w:jc w:val="right"/>
              <w:rPr>
                <w:rFonts w:ascii="Arial" w:hAnsi="Arial" w:cs="Arial"/>
                <w:sz w:val="16"/>
                <w:szCs w:val="16"/>
                <w:lang w:eastAsia="en-NZ"/>
              </w:rPr>
            </w:pPr>
            <w:r w:rsidRPr="00CB6402">
              <w:rPr>
                <w:rFonts w:ascii="Arial" w:hAnsi="Arial" w:cs="Arial"/>
                <w:sz w:val="16"/>
                <w:szCs w:val="16"/>
              </w:rPr>
              <w:t>0.146</w:t>
            </w:r>
          </w:p>
        </w:tc>
      </w:tr>
      <w:tr w:rsidR="009E0695" w:rsidRPr="007348D6" w:rsidTr="00BE7840">
        <w:trPr>
          <w:trHeight w:val="255"/>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9E0695" w:rsidRPr="00CB6402" w:rsidRDefault="009E0695" w:rsidP="00981B30">
            <w:pPr>
              <w:jc w:val="left"/>
              <w:rPr>
                <w:rFonts w:ascii="Arial" w:hAnsi="Arial" w:cs="Arial"/>
                <w:sz w:val="16"/>
                <w:szCs w:val="16"/>
                <w:lang w:eastAsia="en-NZ"/>
              </w:rPr>
            </w:pPr>
            <w:r w:rsidRPr="00CB6402">
              <w:rPr>
                <w:rFonts w:ascii="Arial" w:hAnsi="Arial" w:cs="Arial"/>
                <w:sz w:val="16"/>
                <w:szCs w:val="16"/>
                <w:lang w:eastAsia="en-NZ"/>
              </w:rPr>
              <w:t>Rental car - Default *</w:t>
            </w:r>
          </w:p>
        </w:tc>
        <w:tc>
          <w:tcPr>
            <w:tcW w:w="1275" w:type="dxa"/>
            <w:tcBorders>
              <w:top w:val="nil"/>
              <w:left w:val="nil"/>
              <w:bottom w:val="single" w:sz="4" w:space="0" w:color="auto"/>
              <w:right w:val="single" w:sz="4" w:space="0" w:color="auto"/>
            </w:tcBorders>
            <w:shd w:val="clear" w:color="auto" w:fill="auto"/>
            <w:noWrap/>
            <w:vAlign w:val="bottom"/>
            <w:hideMark/>
          </w:tcPr>
          <w:p w:rsidR="009E0695" w:rsidRPr="00CB6402" w:rsidRDefault="009E0695" w:rsidP="001812C8">
            <w:pPr>
              <w:jc w:val="left"/>
              <w:rPr>
                <w:rFonts w:ascii="Arial" w:hAnsi="Arial" w:cs="Arial"/>
                <w:sz w:val="16"/>
                <w:szCs w:val="16"/>
                <w:lang w:eastAsia="en-NZ"/>
              </w:rPr>
            </w:pPr>
            <w:r w:rsidRPr="00CB6402">
              <w:rPr>
                <w:rFonts w:ascii="Arial" w:hAnsi="Arial" w:cs="Arial"/>
                <w:sz w:val="16"/>
                <w:szCs w:val="16"/>
                <w:lang w:eastAsia="en-NZ"/>
              </w:rPr>
              <w:t>Km</w:t>
            </w:r>
          </w:p>
        </w:tc>
        <w:tc>
          <w:tcPr>
            <w:tcW w:w="1701" w:type="dxa"/>
            <w:tcBorders>
              <w:top w:val="nil"/>
              <w:left w:val="nil"/>
              <w:bottom w:val="single" w:sz="4" w:space="0" w:color="auto"/>
              <w:right w:val="single" w:sz="4" w:space="0" w:color="auto"/>
            </w:tcBorders>
            <w:shd w:val="clear" w:color="auto" w:fill="auto"/>
            <w:noWrap/>
            <w:vAlign w:val="bottom"/>
            <w:hideMark/>
          </w:tcPr>
          <w:p w:rsidR="009E0695" w:rsidRPr="00CB6402" w:rsidRDefault="009E0695" w:rsidP="00981B30">
            <w:pPr>
              <w:jc w:val="right"/>
              <w:rPr>
                <w:rFonts w:ascii="Arial" w:hAnsi="Arial" w:cs="Arial"/>
                <w:sz w:val="16"/>
                <w:szCs w:val="16"/>
                <w:lang w:eastAsia="en-NZ"/>
              </w:rPr>
            </w:pPr>
            <w:r w:rsidRPr="00CB6402">
              <w:rPr>
                <w:rFonts w:ascii="Arial" w:hAnsi="Arial" w:cs="Arial"/>
                <w:sz w:val="16"/>
                <w:szCs w:val="16"/>
              </w:rPr>
              <w:t>0.209</w:t>
            </w:r>
          </w:p>
        </w:tc>
      </w:tr>
      <w:tr w:rsidR="009E0695" w:rsidRPr="007348D6" w:rsidTr="00BE7840">
        <w:trPr>
          <w:trHeight w:val="255"/>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9E0695" w:rsidRPr="00CB6402" w:rsidRDefault="009E0695" w:rsidP="00981B30">
            <w:pPr>
              <w:jc w:val="left"/>
              <w:rPr>
                <w:rFonts w:ascii="Arial" w:hAnsi="Arial" w:cs="Arial"/>
                <w:sz w:val="16"/>
                <w:szCs w:val="16"/>
                <w:lang w:eastAsia="en-NZ"/>
              </w:rPr>
            </w:pPr>
            <w:r w:rsidRPr="00CB6402">
              <w:rPr>
                <w:rFonts w:ascii="Arial" w:hAnsi="Arial" w:cs="Arial"/>
                <w:sz w:val="16"/>
                <w:szCs w:val="16"/>
                <w:lang w:eastAsia="en-NZ"/>
              </w:rPr>
              <w:t>Taxi travel - Distance travelled</w:t>
            </w:r>
          </w:p>
        </w:tc>
        <w:tc>
          <w:tcPr>
            <w:tcW w:w="1275" w:type="dxa"/>
            <w:tcBorders>
              <w:top w:val="nil"/>
              <w:left w:val="nil"/>
              <w:bottom w:val="single" w:sz="4" w:space="0" w:color="auto"/>
              <w:right w:val="single" w:sz="4" w:space="0" w:color="auto"/>
            </w:tcBorders>
            <w:shd w:val="clear" w:color="auto" w:fill="auto"/>
            <w:noWrap/>
            <w:vAlign w:val="bottom"/>
            <w:hideMark/>
          </w:tcPr>
          <w:p w:rsidR="009E0695" w:rsidRPr="00CB6402" w:rsidRDefault="009E0695" w:rsidP="001812C8">
            <w:pPr>
              <w:jc w:val="left"/>
              <w:rPr>
                <w:rFonts w:ascii="Arial" w:hAnsi="Arial" w:cs="Arial"/>
                <w:sz w:val="16"/>
                <w:szCs w:val="16"/>
                <w:lang w:eastAsia="en-NZ"/>
              </w:rPr>
            </w:pPr>
            <w:r w:rsidRPr="00CB6402">
              <w:rPr>
                <w:rFonts w:ascii="Arial" w:hAnsi="Arial" w:cs="Arial"/>
                <w:sz w:val="16"/>
                <w:szCs w:val="16"/>
                <w:lang w:eastAsia="en-NZ"/>
              </w:rPr>
              <w:t>Km</w:t>
            </w:r>
          </w:p>
        </w:tc>
        <w:tc>
          <w:tcPr>
            <w:tcW w:w="1701" w:type="dxa"/>
            <w:tcBorders>
              <w:top w:val="nil"/>
              <w:left w:val="nil"/>
              <w:bottom w:val="single" w:sz="4" w:space="0" w:color="auto"/>
              <w:right w:val="single" w:sz="4" w:space="0" w:color="auto"/>
            </w:tcBorders>
            <w:shd w:val="clear" w:color="auto" w:fill="auto"/>
            <w:noWrap/>
            <w:vAlign w:val="bottom"/>
            <w:hideMark/>
          </w:tcPr>
          <w:p w:rsidR="009E0695" w:rsidRPr="00CB6402" w:rsidRDefault="009E0695" w:rsidP="00981B30">
            <w:pPr>
              <w:jc w:val="right"/>
              <w:rPr>
                <w:rFonts w:ascii="Arial" w:hAnsi="Arial" w:cs="Arial"/>
                <w:sz w:val="16"/>
                <w:szCs w:val="16"/>
                <w:lang w:eastAsia="en-NZ"/>
              </w:rPr>
            </w:pPr>
            <w:r w:rsidRPr="00CB6402">
              <w:rPr>
                <w:rFonts w:ascii="Arial" w:hAnsi="Arial" w:cs="Arial"/>
                <w:sz w:val="16"/>
                <w:szCs w:val="16"/>
              </w:rPr>
              <w:t>0.200</w:t>
            </w:r>
          </w:p>
        </w:tc>
      </w:tr>
      <w:tr w:rsidR="009E0695" w:rsidRPr="007348D6" w:rsidTr="00BE7840">
        <w:trPr>
          <w:trHeight w:val="255"/>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9E0695" w:rsidRPr="00CB6402" w:rsidRDefault="009E0695" w:rsidP="00981B30">
            <w:pPr>
              <w:jc w:val="left"/>
              <w:rPr>
                <w:rFonts w:ascii="Arial" w:hAnsi="Arial" w:cs="Arial"/>
                <w:sz w:val="16"/>
                <w:szCs w:val="16"/>
                <w:lang w:eastAsia="en-NZ"/>
              </w:rPr>
            </w:pPr>
            <w:r w:rsidRPr="00CB6402">
              <w:rPr>
                <w:rFonts w:ascii="Arial" w:hAnsi="Arial" w:cs="Arial"/>
                <w:sz w:val="16"/>
                <w:szCs w:val="16"/>
                <w:lang w:eastAsia="en-NZ"/>
              </w:rPr>
              <w:t>Taxi travel - Dollars spent (GST inclusive)</w:t>
            </w:r>
          </w:p>
        </w:tc>
        <w:tc>
          <w:tcPr>
            <w:tcW w:w="1275" w:type="dxa"/>
            <w:tcBorders>
              <w:top w:val="nil"/>
              <w:left w:val="nil"/>
              <w:bottom w:val="single" w:sz="4" w:space="0" w:color="auto"/>
              <w:right w:val="single" w:sz="4" w:space="0" w:color="auto"/>
            </w:tcBorders>
            <w:shd w:val="clear" w:color="auto" w:fill="auto"/>
            <w:noWrap/>
            <w:vAlign w:val="bottom"/>
            <w:hideMark/>
          </w:tcPr>
          <w:p w:rsidR="009E0695" w:rsidRPr="00CB6402" w:rsidRDefault="009E0695" w:rsidP="001812C8">
            <w:pPr>
              <w:jc w:val="left"/>
              <w:rPr>
                <w:rFonts w:ascii="Arial" w:hAnsi="Arial" w:cs="Arial"/>
                <w:sz w:val="16"/>
                <w:szCs w:val="16"/>
                <w:lang w:eastAsia="en-NZ"/>
              </w:rPr>
            </w:pPr>
            <w:r w:rsidRPr="00CB6402">
              <w:rPr>
                <w:rFonts w:ascii="Arial" w:hAnsi="Arial" w:cs="Arial"/>
                <w:sz w:val="16"/>
                <w:szCs w:val="16"/>
                <w:lang w:eastAsia="en-NZ"/>
              </w:rPr>
              <w:t>$</w:t>
            </w:r>
          </w:p>
        </w:tc>
        <w:tc>
          <w:tcPr>
            <w:tcW w:w="1701" w:type="dxa"/>
            <w:tcBorders>
              <w:top w:val="nil"/>
              <w:left w:val="nil"/>
              <w:bottom w:val="single" w:sz="4" w:space="0" w:color="auto"/>
              <w:right w:val="single" w:sz="4" w:space="0" w:color="auto"/>
            </w:tcBorders>
            <w:shd w:val="clear" w:color="auto" w:fill="auto"/>
            <w:noWrap/>
            <w:vAlign w:val="bottom"/>
            <w:hideMark/>
          </w:tcPr>
          <w:p w:rsidR="009E0695" w:rsidRPr="00CB6402" w:rsidRDefault="009E0695" w:rsidP="00981B30">
            <w:pPr>
              <w:jc w:val="right"/>
              <w:rPr>
                <w:rFonts w:ascii="Arial" w:hAnsi="Arial" w:cs="Arial"/>
                <w:sz w:val="16"/>
                <w:szCs w:val="16"/>
                <w:lang w:eastAsia="en-NZ"/>
              </w:rPr>
            </w:pPr>
            <w:r w:rsidRPr="00CB6402">
              <w:rPr>
                <w:rFonts w:ascii="Arial" w:hAnsi="Arial" w:cs="Arial"/>
                <w:sz w:val="16"/>
                <w:szCs w:val="16"/>
              </w:rPr>
              <w:t>0.067</w:t>
            </w:r>
          </w:p>
        </w:tc>
      </w:tr>
    </w:tbl>
    <w:p w:rsidR="009E0695" w:rsidRPr="00647E14" w:rsidRDefault="009E0695" w:rsidP="009E0695">
      <w:pPr>
        <w:pStyle w:val="Note"/>
        <w:tabs>
          <w:tab w:val="clear" w:pos="680"/>
        </w:tabs>
        <w:ind w:left="397" w:hanging="397"/>
      </w:pPr>
      <w:r w:rsidRPr="00647E14">
        <w:t>*</w:t>
      </w:r>
      <w:r w:rsidRPr="00647E14">
        <w:tab/>
        <w:t>The default emission factor should be used if the vehicle size class of rental cars cannot be determined.</w:t>
      </w:r>
    </w:p>
    <w:p w:rsidR="009E0695" w:rsidRPr="003F76E8" w:rsidRDefault="009E0695" w:rsidP="009E0695">
      <w:pPr>
        <w:rPr>
          <w:highlight w:val="green"/>
        </w:rPr>
      </w:pPr>
    </w:p>
    <w:p w:rsidR="009E0695" w:rsidRPr="00647E14" w:rsidRDefault="009E0695" w:rsidP="0067451B">
      <w:pPr>
        <w:pStyle w:val="Heading4"/>
        <w:jc w:val="left"/>
      </w:pPr>
      <w:r w:rsidRPr="00647E14">
        <w:t>Assumptions</w:t>
      </w:r>
    </w:p>
    <w:p w:rsidR="009E0695" w:rsidRPr="00647E14" w:rsidRDefault="009E0695" w:rsidP="0067451B">
      <w:pPr>
        <w:jc w:val="left"/>
      </w:pPr>
      <w:r w:rsidRPr="00647E14">
        <w:t>The emission factors and underlying assumptions for taxis and rental cars are the same as those found in table 3 (</w:t>
      </w:r>
      <w:r>
        <w:t>emission factors based on distance travelled</w:t>
      </w:r>
      <w:r w:rsidRPr="00647E14">
        <w:t>).</w:t>
      </w:r>
    </w:p>
    <w:p w:rsidR="009E0695" w:rsidRPr="00647E14" w:rsidRDefault="009E0695" w:rsidP="0067451B">
      <w:pPr>
        <w:jc w:val="left"/>
      </w:pPr>
    </w:p>
    <w:p w:rsidR="009E0695" w:rsidRPr="00647E14" w:rsidRDefault="009E0695" w:rsidP="0067451B">
      <w:pPr>
        <w:jc w:val="left"/>
      </w:pPr>
      <w:r w:rsidRPr="00647E14">
        <w:t>The default emission factor for rental cars is the same as that for</w:t>
      </w:r>
      <w:r>
        <w:t xml:space="preserve"> vehicles in the 1600 - &lt;2000 cc category</w:t>
      </w:r>
      <w:r w:rsidRPr="00647E14">
        <w:t>. Data from the Motor Industry Association New Vehicle Sales database showed that for the calendar year period 20</w:t>
      </w:r>
      <w:r>
        <w:t>13</w:t>
      </w:r>
      <w:r w:rsidRPr="00647E14">
        <w:t>–20</w:t>
      </w:r>
      <w:r>
        <w:t>15</w:t>
      </w:r>
      <w:r w:rsidRPr="00647E14">
        <w:t xml:space="preserve">, an average of </w:t>
      </w:r>
      <w:r>
        <w:t>43</w:t>
      </w:r>
      <w:r w:rsidRPr="00647E14">
        <w:t xml:space="preserve"> per cent of rental vehicles purchased were in th</w:t>
      </w:r>
      <w:r>
        <w:t>is category</w:t>
      </w:r>
      <w:r w:rsidRPr="00647E14">
        <w:t>.</w:t>
      </w:r>
    </w:p>
    <w:p w:rsidR="009E0695" w:rsidRPr="00647E14" w:rsidRDefault="009E0695" w:rsidP="0067451B">
      <w:pPr>
        <w:spacing w:before="240"/>
        <w:jc w:val="left"/>
      </w:pPr>
      <w:r w:rsidRPr="00647E14">
        <w:lastRenderedPageBreak/>
        <w:t>The default emission factor for taxis is the</w:t>
      </w:r>
      <w:r>
        <w:t xml:space="preserve"> average</w:t>
      </w:r>
      <w:r w:rsidRPr="00647E14">
        <w:t xml:space="preserve"> </w:t>
      </w:r>
      <w:r>
        <w:t>of the 1350 - &lt; 1600 and the 1600 -</w:t>
      </w:r>
      <w:r w:rsidR="00091846">
        <w:t xml:space="preserve"> </w:t>
      </w:r>
      <w:r>
        <w:t xml:space="preserve">&lt;2000 categories </w:t>
      </w:r>
      <w:r w:rsidRPr="00647E14">
        <w:t>from table 3. Data from the Motor Industry Association New Vehicle Sales database showed that for the calendar year period 20</w:t>
      </w:r>
      <w:r>
        <w:t>13</w:t>
      </w:r>
      <w:r w:rsidRPr="00647E14">
        <w:t>–201</w:t>
      </w:r>
      <w:r>
        <w:t>5</w:t>
      </w:r>
      <w:r w:rsidRPr="00647E14">
        <w:t xml:space="preserve">, an average of </w:t>
      </w:r>
      <w:r>
        <w:t>65</w:t>
      </w:r>
      <w:r w:rsidRPr="00647E14">
        <w:t xml:space="preserve"> per cent of</w:t>
      </w:r>
      <w:r>
        <w:t xml:space="preserve"> petrol</w:t>
      </w:r>
      <w:r w:rsidRPr="00647E14">
        <w:t xml:space="preserve"> taxis purchased were </w:t>
      </w:r>
      <w:r>
        <w:t>in this engine size class</w:t>
      </w:r>
      <w:r w:rsidRPr="00647E14">
        <w:t>.</w:t>
      </w:r>
    </w:p>
    <w:p w:rsidR="009E0695" w:rsidRPr="00647E14" w:rsidRDefault="009E0695" w:rsidP="0067451B">
      <w:pPr>
        <w:jc w:val="left"/>
      </w:pPr>
    </w:p>
    <w:p w:rsidR="009E0695" w:rsidRPr="00647E14" w:rsidRDefault="009E0695" w:rsidP="0067451B">
      <w:pPr>
        <w:jc w:val="left"/>
      </w:pPr>
      <w:r w:rsidRPr="00647E14">
        <w:t>The dollars spent emission factor is based on a national average figure of $</w:t>
      </w:r>
      <w:r>
        <w:t>3</w:t>
      </w:r>
      <w:r w:rsidRPr="00647E14">
        <w:t xml:space="preserve"> per kilometre travelled. This figure is sourced from </w:t>
      </w:r>
      <w:proofErr w:type="spellStart"/>
      <w:r w:rsidRPr="00647E14">
        <w:t>Taxicharge</w:t>
      </w:r>
      <w:proofErr w:type="spellEnd"/>
      <w:r w:rsidRPr="00647E14">
        <w:t xml:space="preserve"> New Zealand and includes GST.</w:t>
      </w:r>
    </w:p>
    <w:p w:rsidR="009E0695" w:rsidRPr="00647E14" w:rsidRDefault="009E0695" w:rsidP="009E0695"/>
    <w:p w:rsidR="009E0695" w:rsidRPr="00647E14" w:rsidRDefault="009E0695" w:rsidP="00C25987">
      <w:pPr>
        <w:pStyle w:val="Heading4"/>
        <w:jc w:val="left"/>
      </w:pPr>
      <w:r w:rsidRPr="00647E14">
        <w:t>Example calculation</w:t>
      </w:r>
    </w:p>
    <w:p w:rsidR="009E0695" w:rsidRPr="00647E14" w:rsidRDefault="009E0695" w:rsidP="00C25987">
      <w:pPr>
        <w:jc w:val="left"/>
      </w:pPr>
      <w:r w:rsidRPr="00647E14">
        <w:t>An organisation uses rental cars to travel 12,000 km in 201</w:t>
      </w:r>
      <w:r>
        <w:t>4</w:t>
      </w:r>
      <w:r w:rsidRPr="00647E14">
        <w:t>. It also spends $18,000 on taxi travel.</w:t>
      </w:r>
    </w:p>
    <w:p w:rsidR="009E0695" w:rsidRPr="00647E14" w:rsidRDefault="009E0695" w:rsidP="00C25987">
      <w:pPr>
        <w:jc w:val="left"/>
      </w:pPr>
    </w:p>
    <w:p w:rsidR="009E0695" w:rsidRPr="00647E14" w:rsidRDefault="009E0695" w:rsidP="00C25987">
      <w:pPr>
        <w:ind w:left="397"/>
        <w:jc w:val="left"/>
      </w:pPr>
      <w:r w:rsidRPr="00647E14">
        <w:t>Total CO</w:t>
      </w:r>
      <w:r w:rsidRPr="00647E14">
        <w:rPr>
          <w:vertAlign w:val="subscript"/>
        </w:rPr>
        <w:t>2</w:t>
      </w:r>
      <w:r w:rsidRPr="00647E14">
        <w:t>-e emissions from rental cars = 12,000</w:t>
      </w:r>
      <w:r w:rsidR="00207431">
        <w:t xml:space="preserve"> x</w:t>
      </w:r>
      <w:r w:rsidRPr="00647E14">
        <w:t xml:space="preserve"> 0.2</w:t>
      </w:r>
      <w:r>
        <w:t>09</w:t>
      </w:r>
      <w:r w:rsidRPr="00647E14">
        <w:t xml:space="preserve"> = </w:t>
      </w:r>
      <w:r>
        <w:t>2508</w:t>
      </w:r>
      <w:r w:rsidRPr="00647E14">
        <w:t xml:space="preserve"> kg CO</w:t>
      </w:r>
      <w:r w:rsidRPr="00647E14">
        <w:rPr>
          <w:vertAlign w:val="subscript"/>
        </w:rPr>
        <w:t>2</w:t>
      </w:r>
      <w:r w:rsidRPr="00647E14">
        <w:t>-e</w:t>
      </w:r>
    </w:p>
    <w:p w:rsidR="009E0695" w:rsidRDefault="009E0695" w:rsidP="00C25987">
      <w:pPr>
        <w:ind w:left="397"/>
        <w:jc w:val="left"/>
      </w:pPr>
      <w:r w:rsidRPr="00647E14">
        <w:t>Total CO</w:t>
      </w:r>
      <w:r w:rsidRPr="00647E14">
        <w:rPr>
          <w:vertAlign w:val="subscript"/>
        </w:rPr>
        <w:t>2</w:t>
      </w:r>
      <w:r w:rsidRPr="00647E14">
        <w:t>-e emissions from taxi travel = $18,000</w:t>
      </w:r>
      <w:r w:rsidR="00207431">
        <w:t xml:space="preserve"> x</w:t>
      </w:r>
      <w:r w:rsidRPr="00647E14">
        <w:t>0.</w:t>
      </w:r>
      <w:r>
        <w:t>067</w:t>
      </w:r>
      <w:r w:rsidRPr="00647E14">
        <w:t xml:space="preserve"> = 1</w:t>
      </w:r>
      <w:r>
        <w:t>206</w:t>
      </w:r>
      <w:r w:rsidRPr="00647E14">
        <w:t xml:space="preserve"> kg CO</w:t>
      </w:r>
      <w:r w:rsidRPr="00647E14">
        <w:rPr>
          <w:vertAlign w:val="subscript"/>
        </w:rPr>
        <w:t>2</w:t>
      </w:r>
      <w:r w:rsidRPr="00647E14">
        <w:t>-e</w:t>
      </w:r>
    </w:p>
    <w:p w:rsidR="0033688C" w:rsidRDefault="0033688C" w:rsidP="0033688C"/>
    <w:p w:rsidR="009E3385" w:rsidRPr="000F1882" w:rsidRDefault="009E3385" w:rsidP="0033688C">
      <w:pPr>
        <w:pStyle w:val="Heading3"/>
      </w:pPr>
      <w:bookmarkStart w:id="123" w:name="_Toc209932991"/>
      <w:bookmarkStart w:id="124" w:name="_Toc210026928"/>
      <w:bookmarkStart w:id="125" w:name="_Toc289083964"/>
      <w:bookmarkStart w:id="126" w:name="_Toc469577175"/>
      <w:bookmarkStart w:id="127" w:name="_Toc185071691"/>
      <w:bookmarkStart w:id="128" w:name="_Toc185407832"/>
      <w:bookmarkStart w:id="129" w:name="_Toc185408067"/>
      <w:r w:rsidRPr="000F1882">
        <w:t>3.1.</w:t>
      </w:r>
      <w:r w:rsidR="009E0695">
        <w:t>5</w:t>
      </w:r>
      <w:r w:rsidRPr="000F1882">
        <w:tab/>
        <w:t>Refrigerants</w:t>
      </w:r>
      <w:bookmarkEnd w:id="123"/>
      <w:bookmarkEnd w:id="124"/>
      <w:bookmarkEnd w:id="125"/>
      <w:bookmarkEnd w:id="126"/>
    </w:p>
    <w:p w:rsidR="009E3385" w:rsidRDefault="00EA3A48" w:rsidP="00C25987">
      <w:pPr>
        <w:jc w:val="left"/>
      </w:pPr>
      <w:r>
        <w:t>Greenhouse Gas (</w:t>
      </w:r>
      <w:r w:rsidR="007B5351">
        <w:t>GHG</w:t>
      </w:r>
      <w:r>
        <w:t>)</w:t>
      </w:r>
      <w:r w:rsidR="009E3385" w:rsidRPr="000F1882">
        <w:t xml:space="preserve"> emissions from hydrofluorocarbons (HFCs) are associated with unintentional leaks and spills from refrigeration units, air conditioners and heat pumps. While quantities of HFCs reported in a business emissions inventory may be small, HFCs have very high global warming potentials (commonly 1300 to 3300 times more potent than CO</w:t>
      </w:r>
      <w:r w:rsidR="009E3385" w:rsidRPr="000F1882">
        <w:rPr>
          <w:vertAlign w:val="subscript"/>
        </w:rPr>
        <w:t>2</w:t>
      </w:r>
      <w:r w:rsidR="009E3385" w:rsidRPr="000F1882">
        <w:t xml:space="preserve">) and emissions from this source may therefore be material. In addition, emissions associated with this sector are growing significantly as they replace </w:t>
      </w:r>
      <w:r w:rsidR="009E3385">
        <w:t>chlorofluorocarbons</w:t>
      </w:r>
      <w:r>
        <w:t xml:space="preserve"> (CFCs)</w:t>
      </w:r>
      <w:r w:rsidR="009E3385">
        <w:t xml:space="preserve"> and </w:t>
      </w:r>
      <w:proofErr w:type="spellStart"/>
      <w:r w:rsidR="009E3385" w:rsidRPr="000F1882">
        <w:t>hydrochlorofluorocarbons</w:t>
      </w:r>
      <w:proofErr w:type="spellEnd"/>
      <w:r w:rsidR="009E3385" w:rsidRPr="000F1882">
        <w:t xml:space="preserve"> </w:t>
      </w:r>
      <w:r w:rsidR="0075582B">
        <w:t>(</w:t>
      </w:r>
      <w:r w:rsidR="009E3385">
        <w:t>HCFCs</w:t>
      </w:r>
      <w:r w:rsidR="0075582B">
        <w:t>)</w:t>
      </w:r>
      <w:r w:rsidR="009E3385">
        <w:t>.</w:t>
      </w:r>
    </w:p>
    <w:p w:rsidR="009E3385" w:rsidRPr="000F1882" w:rsidRDefault="009E3385" w:rsidP="00C25987">
      <w:pPr>
        <w:jc w:val="left"/>
      </w:pPr>
    </w:p>
    <w:p w:rsidR="00EC1311" w:rsidRDefault="009E3385" w:rsidP="00C25987">
      <w:pPr>
        <w:jc w:val="left"/>
      </w:pPr>
      <w:r w:rsidRPr="000F1882">
        <w:t>Scope 1 emissions from refrigeration occur from refrigeration units which are owned or controlled by the reporting organisation. If the unit is leased, associated emissions should be reported under Scope 3 emissions.</w:t>
      </w:r>
    </w:p>
    <w:p w:rsidR="009E3385" w:rsidRPr="000F1882" w:rsidRDefault="009E3385" w:rsidP="00C25987">
      <w:pPr>
        <w:jc w:val="left"/>
      </w:pPr>
    </w:p>
    <w:p w:rsidR="009E3385" w:rsidRPr="000F1882" w:rsidRDefault="009E3385" w:rsidP="00C25987">
      <w:pPr>
        <w:jc w:val="left"/>
      </w:pPr>
      <w:r w:rsidRPr="000F1882">
        <w:t>Emissions of HFCs are not ca</w:t>
      </w:r>
      <w:r w:rsidR="00FC2D76">
        <w:t>lculated using emission factors;</w:t>
      </w:r>
      <w:r w:rsidRPr="000F1882">
        <w:t xml:space="preserve"> rather they are determined by estimating leakage from refrigerant equipment. Maintenance engineers can be asked to provide the actual amounts that are used to top up equipment (</w:t>
      </w:r>
      <w:proofErr w:type="spellStart"/>
      <w:r w:rsidRPr="000F1882">
        <w:t>ie</w:t>
      </w:r>
      <w:proofErr w:type="spellEnd"/>
      <w:r w:rsidRPr="000F1882">
        <w:t>, to replace what has leaked).</w:t>
      </w:r>
      <w:r w:rsidR="00EC1311">
        <w:t xml:space="preserve"> </w:t>
      </w:r>
      <w:r w:rsidR="002C156D" w:rsidRPr="000F1882">
        <w:t>The</w:t>
      </w:r>
      <w:r w:rsidR="002C156D">
        <w:t> </w:t>
      </w:r>
      <w:r w:rsidRPr="000F1882">
        <w:t xml:space="preserve">Ministry recommends three alternative methods for estimating leakage, depending on </w:t>
      </w:r>
      <w:r w:rsidR="002C156D" w:rsidRPr="000F1882">
        <w:t>the</w:t>
      </w:r>
      <w:r w:rsidR="002C156D">
        <w:t> </w:t>
      </w:r>
      <w:r w:rsidRPr="000F1882">
        <w:t xml:space="preserve">equipment and available information. </w:t>
      </w:r>
      <w:r w:rsidR="0060510E">
        <w:t xml:space="preserve">Details of these </w:t>
      </w:r>
      <w:r w:rsidR="00E47E36">
        <w:t>three</w:t>
      </w:r>
      <w:r w:rsidR="0060510E">
        <w:t xml:space="preserve"> methods are available</w:t>
      </w:r>
      <w:r>
        <w:t xml:space="preserve"> in </w:t>
      </w:r>
      <w:r w:rsidR="002C156D">
        <w:t>Appendix </w:t>
      </w:r>
      <w:r w:rsidR="00A00F28">
        <w:t>B</w:t>
      </w:r>
      <w:r>
        <w:t>.</w:t>
      </w:r>
    </w:p>
    <w:p w:rsidR="009E3385" w:rsidRPr="000F1882" w:rsidRDefault="009E3385" w:rsidP="00C25987">
      <w:pPr>
        <w:jc w:val="left"/>
      </w:pPr>
    </w:p>
    <w:p w:rsidR="009E3385" w:rsidRDefault="009E3385" w:rsidP="00C25987">
      <w:pPr>
        <w:jc w:val="left"/>
      </w:pPr>
      <w:r w:rsidRPr="000F1882">
        <w:t xml:space="preserve">If you consider it likely your emissions from refrigerant equipment and leakage is a </w:t>
      </w:r>
      <w:r w:rsidR="00E106FE">
        <w:t>significant</w:t>
      </w:r>
      <w:r w:rsidRPr="000F1882">
        <w:t xml:space="preserve"> proportion of your total emissions (</w:t>
      </w:r>
      <w:proofErr w:type="spellStart"/>
      <w:r w:rsidRPr="000F1882">
        <w:t>ie</w:t>
      </w:r>
      <w:proofErr w:type="spellEnd"/>
      <w:r w:rsidRPr="000F1882">
        <w:t xml:space="preserve">, </w:t>
      </w:r>
      <w:r w:rsidR="00207431">
        <w:t xml:space="preserve">greater than </w:t>
      </w:r>
      <w:r w:rsidRPr="000F1882">
        <w:t>5 per cent), then you should include them in your emissions inventory. You may need to carry out a preliminary screening test to determine materiality.</w:t>
      </w:r>
    </w:p>
    <w:p w:rsidR="009E3385" w:rsidRPr="000F1882" w:rsidRDefault="009E3385" w:rsidP="0033688C"/>
    <w:p w:rsidR="006E2B50" w:rsidRPr="00823CD7" w:rsidRDefault="009E3385" w:rsidP="00CB78F4">
      <w:pPr>
        <w:jc w:val="left"/>
      </w:pPr>
      <w:r w:rsidRPr="006C06DA">
        <w:t xml:space="preserve">CFCs and HCFCs can have very high </w:t>
      </w:r>
      <w:r>
        <w:t>global warming potentials</w:t>
      </w:r>
      <w:r w:rsidRPr="006C06DA">
        <w:t xml:space="preserve"> (up to 14,400 times as potent as CO</w:t>
      </w:r>
      <w:r w:rsidRPr="006C06DA">
        <w:rPr>
          <w:vertAlign w:val="subscript"/>
        </w:rPr>
        <w:t>2</w:t>
      </w:r>
      <w:r w:rsidRPr="006C06DA">
        <w:t xml:space="preserve"> over 100 years)</w:t>
      </w:r>
      <w:r w:rsidR="00C15374">
        <w:t>.</w:t>
      </w:r>
      <w:r>
        <w:t xml:space="preserve"> </w:t>
      </w:r>
      <w:r w:rsidR="00C15374">
        <w:t>H</w:t>
      </w:r>
      <w:r>
        <w:t>owever</w:t>
      </w:r>
      <w:r w:rsidR="00C15374">
        <w:t>,</w:t>
      </w:r>
      <w:r w:rsidRPr="006C06DA">
        <w:t xml:space="preserve"> they are</w:t>
      </w:r>
      <w:r>
        <w:t xml:space="preserve"> not included in </w:t>
      </w:r>
      <w:r w:rsidR="007B5351">
        <w:t>GHG</w:t>
      </w:r>
      <w:r>
        <w:t xml:space="preserve"> inventories as they are already being phased out</w:t>
      </w:r>
      <w:r w:rsidRPr="006C06DA">
        <w:t xml:space="preserve"> through the Montreal Protocol on Substances </w:t>
      </w:r>
      <w:r>
        <w:t>t</w:t>
      </w:r>
      <w:r w:rsidRPr="006C06DA">
        <w:t>hat Deplete the Ozone Layer.</w:t>
      </w:r>
      <w:r>
        <w:t xml:space="preserve"> </w:t>
      </w:r>
      <w:r w:rsidRPr="00833119">
        <w:rPr>
          <w:i/>
        </w:rPr>
        <w:t>The GHG Protocol</w:t>
      </w:r>
      <w:r>
        <w:t xml:space="preserve"> includes direct emissions of CFCs and HCFCs as optional reporting categories under </w:t>
      </w:r>
      <w:r w:rsidR="00C15374">
        <w:t>S</w:t>
      </w:r>
      <w:r>
        <w:t>cope 3 emissions. Global warming potentials for CFCs and HCFCs can be found on page 212 of the IPCC</w:t>
      </w:r>
      <w:r w:rsidR="00EC1311">
        <w:t>’</w:t>
      </w:r>
      <w:r>
        <w:t>s publication,</w:t>
      </w:r>
      <w:r w:rsidRPr="00947084">
        <w:rPr>
          <w:i/>
        </w:rPr>
        <w:t xml:space="preserve"> </w:t>
      </w:r>
      <w:r w:rsidRPr="00BE2EC1">
        <w:rPr>
          <w:i/>
        </w:rPr>
        <w:t>C</w:t>
      </w:r>
      <w:r w:rsidRPr="00BE2EC1">
        <w:rPr>
          <w:bCs/>
          <w:i/>
        </w:rPr>
        <w:t>ontribution of Working Group I to the Fourth Assessment Report of the Intergovernmental Panel on Climate Change, 2007</w:t>
      </w:r>
      <w:r w:rsidRPr="0033688C">
        <w:t>.</w:t>
      </w:r>
      <w:r w:rsidRPr="0033688C">
        <w:rPr>
          <w:rStyle w:val="FootnoteReference"/>
        </w:rPr>
        <w:footnoteReference w:id="9"/>
      </w:r>
      <w:r w:rsidR="006E2B50">
        <w:t xml:space="preserve"> </w:t>
      </w:r>
      <w:r w:rsidR="00926880">
        <w:t>HCFC</w:t>
      </w:r>
      <w:r w:rsidR="006E2B50">
        <w:t xml:space="preserve"> R22 is the </w:t>
      </w:r>
      <w:r w:rsidR="006E2B50">
        <w:lastRenderedPageBreak/>
        <w:t xml:space="preserve">predominant HCFC used in New Zealand </w:t>
      </w:r>
      <w:r w:rsidR="00926880">
        <w:t xml:space="preserve">and </w:t>
      </w:r>
      <w:r w:rsidR="006E2B50">
        <w:t xml:space="preserve">its global warming potential is included in the tables in </w:t>
      </w:r>
      <w:r w:rsidR="00926880">
        <w:t xml:space="preserve">Appendix </w:t>
      </w:r>
      <w:r w:rsidR="0081170B">
        <w:t>B</w:t>
      </w:r>
      <w:r w:rsidR="007E5467">
        <w:t xml:space="preserve"> </w:t>
      </w:r>
      <w:r w:rsidR="0060510E">
        <w:t>for convenience</w:t>
      </w:r>
      <w:r w:rsidR="006E2B50">
        <w:t>.</w:t>
      </w:r>
    </w:p>
    <w:p w:rsidR="009E3385" w:rsidRDefault="009E3385" w:rsidP="0033688C"/>
    <w:p w:rsidR="009E3385" w:rsidRPr="000F1882" w:rsidRDefault="009E3385" w:rsidP="0033688C">
      <w:pPr>
        <w:pStyle w:val="Heading2"/>
      </w:pPr>
      <w:bookmarkStart w:id="130" w:name="_Toc209932992"/>
      <w:bookmarkStart w:id="131" w:name="_Toc210026929"/>
      <w:bookmarkStart w:id="132" w:name="_Toc289083965"/>
      <w:bookmarkStart w:id="133" w:name="_Toc469577176"/>
      <w:r w:rsidRPr="000F1882">
        <w:t>3.2</w:t>
      </w:r>
      <w:r w:rsidRPr="000F1882">
        <w:tab/>
        <w:t>Scope 2: Electricity indirect emissions</w:t>
      </w:r>
      <w:bookmarkEnd w:id="127"/>
      <w:bookmarkEnd w:id="128"/>
      <w:bookmarkEnd w:id="129"/>
      <w:bookmarkEnd w:id="130"/>
      <w:bookmarkEnd w:id="131"/>
      <w:bookmarkEnd w:id="132"/>
      <w:bookmarkEnd w:id="133"/>
    </w:p>
    <w:p w:rsidR="009E3385" w:rsidRPr="000F1882" w:rsidRDefault="009E3385" w:rsidP="00925D4C">
      <w:pPr>
        <w:pStyle w:val="Heading3"/>
        <w:spacing w:before="120"/>
      </w:pPr>
      <w:bookmarkStart w:id="134" w:name="_Toc185407833"/>
      <w:bookmarkStart w:id="135" w:name="_Toc185408068"/>
      <w:bookmarkStart w:id="136" w:name="_Toc209932993"/>
      <w:bookmarkStart w:id="137" w:name="_Toc210026930"/>
      <w:bookmarkStart w:id="138" w:name="_Toc289083966"/>
      <w:bookmarkStart w:id="139" w:name="_Toc469577177"/>
      <w:r w:rsidRPr="000F1882">
        <w:t>3.2.1</w:t>
      </w:r>
      <w:r w:rsidRPr="000F1882">
        <w:tab/>
        <w:t>Purchased electricity</w:t>
      </w:r>
      <w:bookmarkEnd w:id="134"/>
      <w:bookmarkEnd w:id="135"/>
      <w:bookmarkEnd w:id="136"/>
      <w:bookmarkEnd w:id="137"/>
      <w:bookmarkEnd w:id="138"/>
      <w:bookmarkEnd w:id="139"/>
    </w:p>
    <w:p w:rsidR="009E3385" w:rsidRPr="000F1882" w:rsidRDefault="009E3385" w:rsidP="004A4924">
      <w:pPr>
        <w:jc w:val="left"/>
      </w:pPr>
      <w:r w:rsidRPr="000F1882">
        <w:t>An emission factor for the consumption of purchased electricity (by end users) is calculated on a calendar</w:t>
      </w:r>
      <w:r w:rsidR="00E47E36">
        <w:t>-</w:t>
      </w:r>
      <w:r w:rsidRPr="000F1882">
        <w:t>year basis, and accounts for the emissions from fuel combustion at thermal power stations. It also includes a relatively small proportion of fugitive emissions from geothermal generation.</w:t>
      </w:r>
    </w:p>
    <w:p w:rsidR="009E3385" w:rsidRPr="000F1882" w:rsidRDefault="009E3385" w:rsidP="004A4924">
      <w:pPr>
        <w:jc w:val="left"/>
      </w:pPr>
    </w:p>
    <w:p w:rsidR="00EC1311" w:rsidRDefault="009E3385" w:rsidP="004A4924">
      <w:pPr>
        <w:jc w:val="left"/>
      </w:pPr>
      <w:r w:rsidRPr="000F1882">
        <w:t xml:space="preserve">The emission factor for the consumption of purchased electricity and the emission factor for transmission and distribution line losses have been aligned with the definitions used in </w:t>
      </w:r>
      <w:r w:rsidR="00833119" w:rsidRPr="00833119">
        <w:rPr>
          <w:i/>
        </w:rPr>
        <w:t>T</w:t>
      </w:r>
      <w:r w:rsidRPr="00833119">
        <w:rPr>
          <w:i/>
        </w:rPr>
        <w:t>he GHG Protocol</w:t>
      </w:r>
      <w:r w:rsidRPr="000F1882">
        <w:t>.</w:t>
      </w:r>
    </w:p>
    <w:p w:rsidR="009E3385" w:rsidRPr="000F1882" w:rsidRDefault="009E3385" w:rsidP="004A4924">
      <w:pPr>
        <w:jc w:val="left"/>
      </w:pPr>
    </w:p>
    <w:p w:rsidR="009E3385" w:rsidRDefault="009E3385" w:rsidP="004A4924">
      <w:pPr>
        <w:jc w:val="left"/>
      </w:pPr>
      <w:r w:rsidRPr="000F1882">
        <w:t>The electricity emission factor covers purchased electricity which has been bought from an electricity supplier who sources its electricity from the national grid.</w:t>
      </w:r>
      <w:r w:rsidRPr="0033688C">
        <w:rPr>
          <w:rStyle w:val="FootnoteReference"/>
        </w:rPr>
        <w:footnoteReference w:id="10"/>
      </w:r>
    </w:p>
    <w:p w:rsidR="00D863F9" w:rsidRPr="000F1882" w:rsidRDefault="00D863F9" w:rsidP="004A4924">
      <w:pPr>
        <w:jc w:val="left"/>
      </w:pPr>
    </w:p>
    <w:p w:rsidR="009E3385" w:rsidRDefault="009E3385" w:rsidP="0033688C">
      <w:pPr>
        <w:pStyle w:val="Table"/>
      </w:pPr>
      <w:bookmarkStart w:id="140" w:name="_Ref208388297"/>
      <w:bookmarkStart w:id="141" w:name="_Toc210024150"/>
      <w:bookmarkStart w:id="142" w:name="_Toc289084085"/>
      <w:bookmarkStart w:id="143" w:name="_Toc469577144"/>
      <w:r w:rsidRPr="000F1882">
        <w:t xml:space="preserve">Table </w:t>
      </w:r>
      <w:r w:rsidR="009E0695">
        <w:t>5</w:t>
      </w:r>
      <w:bookmarkEnd w:id="140"/>
      <w:r w:rsidRPr="000F1882">
        <w:t>:</w:t>
      </w:r>
      <w:r w:rsidRPr="000F1882">
        <w:tab/>
        <w:t>Emission factor for the consumption of purchased electricity</w:t>
      </w:r>
      <w:bookmarkEnd w:id="141"/>
      <w:bookmarkEnd w:id="142"/>
      <w:bookmarkEnd w:id="143"/>
    </w:p>
    <w:p w:rsidR="00D863F9" w:rsidRPr="00D863F9" w:rsidRDefault="00D863F9" w:rsidP="00FC2D76"/>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843"/>
        <w:gridCol w:w="1122"/>
        <w:gridCol w:w="2422"/>
      </w:tblGrid>
      <w:tr w:rsidR="009E3385" w:rsidRPr="0033688C" w:rsidTr="00925D4C">
        <w:trPr>
          <w:cantSplit/>
        </w:trPr>
        <w:tc>
          <w:tcPr>
            <w:tcW w:w="1843" w:type="dxa"/>
            <w:shd w:val="clear" w:color="auto" w:fill="D9D9D9"/>
            <w:noWrap/>
            <w:vAlign w:val="bottom"/>
          </w:tcPr>
          <w:p w:rsidR="009E3385" w:rsidRPr="0033688C" w:rsidRDefault="009E3385" w:rsidP="0033688C">
            <w:pPr>
              <w:pStyle w:val="TableText"/>
              <w:rPr>
                <w:b/>
              </w:rPr>
            </w:pPr>
            <w:r w:rsidRPr="0033688C">
              <w:rPr>
                <w:b/>
              </w:rPr>
              <w:t>Emission source</w:t>
            </w:r>
          </w:p>
        </w:tc>
        <w:tc>
          <w:tcPr>
            <w:tcW w:w="1122" w:type="dxa"/>
            <w:shd w:val="clear" w:color="auto" w:fill="D9D9D9"/>
            <w:noWrap/>
            <w:vAlign w:val="bottom"/>
          </w:tcPr>
          <w:p w:rsidR="009E3385" w:rsidRPr="0033688C" w:rsidRDefault="009E3385" w:rsidP="00BE7840">
            <w:pPr>
              <w:pStyle w:val="TableText"/>
              <w:rPr>
                <w:b/>
              </w:rPr>
            </w:pPr>
            <w:r w:rsidRPr="0033688C">
              <w:rPr>
                <w:b/>
              </w:rPr>
              <w:t>Unit</w:t>
            </w:r>
          </w:p>
        </w:tc>
        <w:tc>
          <w:tcPr>
            <w:tcW w:w="2422" w:type="dxa"/>
            <w:shd w:val="clear" w:color="auto" w:fill="D9D9D9"/>
            <w:vAlign w:val="bottom"/>
          </w:tcPr>
          <w:p w:rsidR="009E3385" w:rsidRPr="0033688C" w:rsidRDefault="009E3385" w:rsidP="00BE7840">
            <w:pPr>
              <w:pStyle w:val="TableText"/>
              <w:rPr>
                <w:b/>
              </w:rPr>
            </w:pPr>
            <w:r w:rsidRPr="0033688C">
              <w:rPr>
                <w:b/>
              </w:rPr>
              <w:t>Emission factor total CO</w:t>
            </w:r>
            <w:r w:rsidRPr="0033688C">
              <w:rPr>
                <w:b/>
                <w:vertAlign w:val="subscript"/>
              </w:rPr>
              <w:t>2</w:t>
            </w:r>
            <w:r w:rsidRPr="0033688C">
              <w:rPr>
                <w:b/>
              </w:rPr>
              <w:t>-e</w:t>
            </w:r>
            <w:r w:rsidRPr="0033688C">
              <w:rPr>
                <w:b/>
              </w:rPr>
              <w:br/>
              <w:t>(kg CO</w:t>
            </w:r>
            <w:r w:rsidRPr="0033688C">
              <w:rPr>
                <w:b/>
                <w:vertAlign w:val="subscript"/>
              </w:rPr>
              <w:t>2</w:t>
            </w:r>
            <w:r w:rsidRPr="0033688C">
              <w:rPr>
                <w:b/>
              </w:rPr>
              <w:t>-e/unit)</w:t>
            </w:r>
          </w:p>
        </w:tc>
      </w:tr>
      <w:tr w:rsidR="009E3385" w:rsidRPr="000F1882">
        <w:trPr>
          <w:cantSplit/>
        </w:trPr>
        <w:tc>
          <w:tcPr>
            <w:tcW w:w="1843" w:type="dxa"/>
            <w:shd w:val="clear" w:color="auto" w:fill="auto"/>
            <w:noWrap/>
          </w:tcPr>
          <w:p w:rsidR="009E3385" w:rsidRPr="000F1882" w:rsidRDefault="009E3385" w:rsidP="0033688C">
            <w:pPr>
              <w:pStyle w:val="TableText"/>
            </w:pPr>
            <w:r w:rsidRPr="000F1882">
              <w:t>Purchased electricity</w:t>
            </w:r>
          </w:p>
        </w:tc>
        <w:tc>
          <w:tcPr>
            <w:tcW w:w="1122" w:type="dxa"/>
            <w:shd w:val="clear" w:color="auto" w:fill="auto"/>
            <w:noWrap/>
          </w:tcPr>
          <w:p w:rsidR="009E3385" w:rsidRPr="000F1882" w:rsidRDefault="009E3385" w:rsidP="00BE7840">
            <w:pPr>
              <w:pStyle w:val="TableText"/>
            </w:pPr>
            <w:r w:rsidRPr="000F1882">
              <w:t>kWh</w:t>
            </w:r>
          </w:p>
        </w:tc>
        <w:tc>
          <w:tcPr>
            <w:tcW w:w="2422" w:type="dxa"/>
            <w:shd w:val="clear" w:color="auto" w:fill="auto"/>
            <w:noWrap/>
          </w:tcPr>
          <w:p w:rsidR="009E3385" w:rsidRPr="000F1882" w:rsidRDefault="008B32F6" w:rsidP="00BE7840">
            <w:pPr>
              <w:pStyle w:val="TableText"/>
              <w:jc w:val="right"/>
            </w:pPr>
            <w:r w:rsidRPr="008B32F6">
              <w:t>0.119</w:t>
            </w:r>
          </w:p>
        </w:tc>
      </w:tr>
    </w:tbl>
    <w:p w:rsidR="009E3385" w:rsidRPr="000F1882" w:rsidRDefault="00BF6138" w:rsidP="0033688C">
      <w:pPr>
        <w:pStyle w:val="Heading4"/>
      </w:pPr>
      <w:bookmarkStart w:id="144" w:name="_Toc185407834"/>
      <w:r>
        <w:br/>
      </w:r>
      <w:r w:rsidR="009E3385" w:rsidRPr="000F1882">
        <w:t>Assumptions</w:t>
      </w:r>
      <w:bookmarkEnd w:id="144"/>
    </w:p>
    <w:p w:rsidR="009E3385" w:rsidRPr="000F1882" w:rsidRDefault="009E3385" w:rsidP="00BB56C3">
      <w:pPr>
        <w:jc w:val="left"/>
      </w:pPr>
      <w:r w:rsidRPr="000F1882">
        <w:t>As with the fuels for stationary combustion emission factors, this emission factor does not incorporate emissions associated with the extraction, production and transport of the fuels burnt to produce electricity.</w:t>
      </w:r>
    </w:p>
    <w:p w:rsidR="009E3385" w:rsidRPr="000F1882" w:rsidRDefault="009E3385" w:rsidP="00BB56C3">
      <w:pPr>
        <w:jc w:val="left"/>
      </w:pPr>
    </w:p>
    <w:p w:rsidR="00EC1311" w:rsidRDefault="009E3385" w:rsidP="00BB56C3">
      <w:pPr>
        <w:jc w:val="left"/>
      </w:pPr>
      <w:r w:rsidRPr="000F1882">
        <w:t xml:space="preserve">This emission factor does not account for the emissions associated with the electricity lost in transmission and distribution on the way to the end user. Under the reporting framework of </w:t>
      </w:r>
      <w:r w:rsidRPr="000F1882">
        <w:rPr>
          <w:i/>
        </w:rPr>
        <w:t>The GHG Protocol</w:t>
      </w:r>
      <w:r w:rsidRPr="000F1882">
        <w:t xml:space="preserve"> the emissions associated with transmission and distribution line losses are Scope</w:t>
      </w:r>
      <w:r w:rsidR="0033688C">
        <w:t> </w:t>
      </w:r>
      <w:r w:rsidRPr="000F1882">
        <w:t xml:space="preserve">3 emissions. </w:t>
      </w:r>
      <w:r w:rsidR="0033688C">
        <w:t>Table </w:t>
      </w:r>
      <w:r w:rsidR="00170066">
        <w:t>6</w:t>
      </w:r>
      <w:r w:rsidRPr="000F1882">
        <w:t xml:space="preserve"> contains an emission factor for transmission and distribution line losses.</w:t>
      </w:r>
    </w:p>
    <w:p w:rsidR="009E3385" w:rsidRPr="000F1882" w:rsidRDefault="009E3385" w:rsidP="0033688C"/>
    <w:p w:rsidR="009E3385" w:rsidRDefault="009E3385" w:rsidP="00BB56C3">
      <w:pPr>
        <w:jc w:val="left"/>
      </w:pPr>
      <w:r w:rsidRPr="000F1882">
        <w:t xml:space="preserve">The emission factor in </w:t>
      </w:r>
      <w:r w:rsidR="00EB1450">
        <w:t>table</w:t>
      </w:r>
      <w:r w:rsidR="0033688C">
        <w:t> </w:t>
      </w:r>
      <w:r w:rsidR="00170066">
        <w:t>5</w:t>
      </w:r>
      <w:r w:rsidRPr="000F1882">
        <w:t xml:space="preserve"> </w:t>
      </w:r>
      <w:r w:rsidR="00502B30">
        <w:t xml:space="preserve">for purchased electricity </w:t>
      </w:r>
      <w:r w:rsidRPr="000F1882">
        <w:t xml:space="preserve">is derived from the net electricity generation data (as opposed to consumption data) </w:t>
      </w:r>
      <w:r w:rsidR="006A6695" w:rsidRPr="000F1882">
        <w:t xml:space="preserve">in </w:t>
      </w:r>
      <w:r w:rsidR="006A6695" w:rsidRPr="00FC2D76">
        <w:rPr>
          <w:i/>
        </w:rPr>
        <w:t>Energy</w:t>
      </w:r>
      <w:r w:rsidR="000D3DD2">
        <w:rPr>
          <w:i/>
        </w:rPr>
        <w:t xml:space="preserve"> in New Zealand </w:t>
      </w:r>
      <w:r w:rsidR="006A6695" w:rsidRPr="006A6695">
        <w:t>(MBIE,</w:t>
      </w:r>
      <w:r w:rsidR="006A6695">
        <w:t xml:space="preserve"> </w:t>
      </w:r>
      <w:r w:rsidR="000D3DD2" w:rsidRPr="006A6695">
        <w:t>201</w:t>
      </w:r>
      <w:r w:rsidR="00925DAF">
        <w:t>6</w:t>
      </w:r>
      <w:r w:rsidR="006A6695" w:rsidRPr="006A6695">
        <w:t>)</w:t>
      </w:r>
      <w:r w:rsidRPr="000F1882">
        <w:rPr>
          <w:i/>
        </w:rPr>
        <w:t>.</w:t>
      </w:r>
      <w:r w:rsidRPr="000F1882">
        <w:t xml:space="preserve"> This is explained in more detail in the section below covering transmission and distribution line losses.</w:t>
      </w:r>
    </w:p>
    <w:p w:rsidR="0033688C" w:rsidRPr="000F1882" w:rsidRDefault="0033688C" w:rsidP="0033688C"/>
    <w:p w:rsidR="009E3385" w:rsidRPr="000F1882" w:rsidRDefault="009E3385" w:rsidP="00BB56C3">
      <w:pPr>
        <w:pStyle w:val="Heading4"/>
        <w:jc w:val="left"/>
      </w:pPr>
      <w:r w:rsidRPr="000F1882">
        <w:t>Notes on the use of electricity emission factors</w:t>
      </w:r>
    </w:p>
    <w:p w:rsidR="009E3385" w:rsidRPr="000F1882" w:rsidRDefault="009E3385" w:rsidP="00BB56C3">
      <w:pPr>
        <w:jc w:val="left"/>
      </w:pPr>
      <w:r w:rsidRPr="000F1882">
        <w:t xml:space="preserve">The emission factor provided in </w:t>
      </w:r>
      <w:r w:rsidR="00EB1450">
        <w:t>table</w:t>
      </w:r>
      <w:r w:rsidR="0033688C">
        <w:t xml:space="preserve"> </w:t>
      </w:r>
      <w:r w:rsidR="00170066">
        <w:t>5</w:t>
      </w:r>
      <w:r w:rsidR="00483988">
        <w:t xml:space="preserve"> </w:t>
      </w:r>
      <w:r w:rsidR="00084F3F">
        <w:t>for purchased electricity</w:t>
      </w:r>
      <w:r w:rsidRPr="000F1882">
        <w:t xml:space="preserve"> is an average over the calendar year to which the emission factor relates</w:t>
      </w:r>
      <w:r w:rsidR="002C6F9D">
        <w:t>.</w:t>
      </w:r>
      <w:r w:rsidRPr="000F1882">
        <w:t xml:space="preserve"> </w:t>
      </w:r>
      <w:r w:rsidR="002C6F9D">
        <w:t>It</w:t>
      </w:r>
      <w:r w:rsidRPr="000F1882">
        <w:t xml:space="preserve"> is used for reporting the annual emissions associated with the consumption of purchased electricity.</w:t>
      </w:r>
    </w:p>
    <w:p w:rsidR="0033688C" w:rsidRDefault="009E3385" w:rsidP="00BB56C3">
      <w:pPr>
        <w:jc w:val="left"/>
      </w:pPr>
      <w:r w:rsidRPr="000F1882">
        <w:lastRenderedPageBreak/>
        <w:t>A grid-average emission factor best reflects the CO</w:t>
      </w:r>
      <w:r w:rsidRPr="000F1882">
        <w:rPr>
          <w:szCs w:val="22"/>
          <w:vertAlign w:val="subscript"/>
        </w:rPr>
        <w:t>2</w:t>
      </w:r>
      <w:r w:rsidRPr="000F1882">
        <w:t xml:space="preserve">-e emissions associated with the generation of a unit of electricity, purchased from the national grid, in New Zealand in </w:t>
      </w:r>
      <w:r w:rsidR="00CC62BB">
        <w:t>201</w:t>
      </w:r>
      <w:r w:rsidR="00E006E7">
        <w:t>4</w:t>
      </w:r>
      <w:r w:rsidRPr="000F1882">
        <w:t>.</w:t>
      </w:r>
      <w:r w:rsidR="00483988">
        <w:t xml:space="preserve"> </w:t>
      </w:r>
      <w:r w:rsidR="00307084" w:rsidRPr="00FD703F">
        <w:t>Retailer specific electricity factors for grid electricity are out of scope for this guidance</w:t>
      </w:r>
      <w:r w:rsidR="00882F1C">
        <w:t>.</w:t>
      </w:r>
    </w:p>
    <w:p w:rsidR="00882F1C" w:rsidRDefault="00882F1C" w:rsidP="00BB56C3">
      <w:pPr>
        <w:jc w:val="left"/>
      </w:pPr>
    </w:p>
    <w:p w:rsidR="0033688C" w:rsidRPr="000F1882" w:rsidRDefault="009E3385" w:rsidP="00FC2D76">
      <w:pPr>
        <w:jc w:val="left"/>
      </w:pPr>
      <w:r w:rsidRPr="000F1882">
        <w:t>The grid-average emission factor cannot be used for calculating abatement by intervention or reducing the use of thermal generation (</w:t>
      </w:r>
      <w:proofErr w:type="spellStart"/>
      <w:r w:rsidRPr="000F1882">
        <w:t>eg</w:t>
      </w:r>
      <w:proofErr w:type="spellEnd"/>
      <w:r w:rsidRPr="000F1882">
        <w:t>, for an offset project). A marginal emission factor is more appropriate in these circumstances, because it is designed to take into account the change in electricity generation at the margin.</w:t>
      </w:r>
    </w:p>
    <w:p w:rsidR="009E3385" w:rsidRPr="000F1882" w:rsidRDefault="009E3385" w:rsidP="001413A1">
      <w:pPr>
        <w:pStyle w:val="Heading4"/>
        <w:jc w:val="left"/>
      </w:pPr>
      <w:bookmarkStart w:id="145" w:name="_Toc185407835"/>
      <w:r w:rsidRPr="000F1882">
        <w:t>Example calculation</w:t>
      </w:r>
      <w:bookmarkEnd w:id="145"/>
    </w:p>
    <w:p w:rsidR="009E3385" w:rsidRPr="000F1882" w:rsidRDefault="009E3385" w:rsidP="001413A1">
      <w:pPr>
        <w:jc w:val="left"/>
      </w:pPr>
      <w:r w:rsidRPr="000F1882">
        <w:t xml:space="preserve">An organisation uses 800,000 kWh of electricity in </w:t>
      </w:r>
      <w:r w:rsidR="00DB061C">
        <w:t>201</w:t>
      </w:r>
      <w:r w:rsidR="00D03BE0">
        <w:t>6</w:t>
      </w:r>
      <w:r w:rsidRPr="000F1882">
        <w:t xml:space="preserve">. </w:t>
      </w:r>
      <w:r w:rsidR="003B18D1">
        <w:t>Its</w:t>
      </w:r>
      <w:r w:rsidR="003B18D1" w:rsidRPr="000F1882">
        <w:t xml:space="preserve"> </w:t>
      </w:r>
      <w:r w:rsidRPr="000F1882">
        <w:t>Scope 2 emissions from electricity are:</w:t>
      </w:r>
    </w:p>
    <w:p w:rsidR="00EC1311" w:rsidRDefault="009E3385" w:rsidP="001413A1">
      <w:pPr>
        <w:spacing w:before="120"/>
        <w:ind w:left="397"/>
        <w:jc w:val="left"/>
      </w:pPr>
      <w:r w:rsidRPr="000F1882">
        <w:t>Total CO</w:t>
      </w:r>
      <w:r w:rsidRPr="000F1882">
        <w:rPr>
          <w:vertAlign w:val="subscript"/>
        </w:rPr>
        <w:t>2</w:t>
      </w:r>
      <w:r w:rsidRPr="000F1882">
        <w:t xml:space="preserve">-e emissions = 800,000 </w:t>
      </w:r>
      <w:r w:rsidR="00D863F9">
        <w:t>x</w:t>
      </w:r>
      <w:r w:rsidRPr="000F1882">
        <w:t xml:space="preserve"> </w:t>
      </w:r>
      <w:r w:rsidR="00A4159F">
        <w:t>0.</w:t>
      </w:r>
      <w:r w:rsidR="00B80AB5">
        <w:t>119</w:t>
      </w:r>
      <w:r w:rsidR="00BC399E" w:rsidRPr="000F1882">
        <w:t xml:space="preserve"> </w:t>
      </w:r>
      <w:r w:rsidRPr="000F1882">
        <w:t xml:space="preserve">= </w:t>
      </w:r>
      <w:r w:rsidR="00B80AB5">
        <w:t>95,200</w:t>
      </w:r>
      <w:r w:rsidR="00BC399E" w:rsidRPr="000F1882">
        <w:t xml:space="preserve"> </w:t>
      </w:r>
      <w:r w:rsidRPr="000F1882">
        <w:t>kg CO</w:t>
      </w:r>
      <w:r w:rsidRPr="000F1882">
        <w:rPr>
          <w:vertAlign w:val="subscript"/>
        </w:rPr>
        <w:t>2</w:t>
      </w:r>
      <w:r w:rsidRPr="000F1882">
        <w:t>-e</w:t>
      </w:r>
    </w:p>
    <w:p w:rsidR="009E3385" w:rsidRPr="000F1882" w:rsidRDefault="009E3385" w:rsidP="0033688C"/>
    <w:p w:rsidR="009E3385" w:rsidRPr="000F1882" w:rsidRDefault="009E3385" w:rsidP="0033688C">
      <w:pPr>
        <w:pStyle w:val="Heading2"/>
      </w:pPr>
      <w:bookmarkStart w:id="146" w:name="_Toc185407837"/>
      <w:bookmarkStart w:id="147" w:name="_Toc185408069"/>
      <w:bookmarkStart w:id="148" w:name="_Toc209932994"/>
      <w:bookmarkStart w:id="149" w:name="_Toc210026931"/>
      <w:bookmarkStart w:id="150" w:name="_Toc289083967"/>
      <w:bookmarkStart w:id="151" w:name="_Toc469577178"/>
      <w:r w:rsidRPr="000F1882">
        <w:t>3.3</w:t>
      </w:r>
      <w:r w:rsidRPr="000F1882">
        <w:tab/>
        <w:t>Scope 3: Other indirect emissions</w:t>
      </w:r>
      <w:bookmarkEnd w:id="146"/>
      <w:bookmarkEnd w:id="147"/>
      <w:bookmarkEnd w:id="148"/>
      <w:bookmarkEnd w:id="149"/>
      <w:bookmarkEnd w:id="150"/>
      <w:bookmarkEnd w:id="151"/>
    </w:p>
    <w:p w:rsidR="009E3385" w:rsidRPr="000F1882" w:rsidRDefault="009E3385" w:rsidP="00281186">
      <w:pPr>
        <w:pStyle w:val="Heading3"/>
      </w:pPr>
      <w:bookmarkStart w:id="152" w:name="_Toc185407838"/>
      <w:bookmarkStart w:id="153" w:name="_Toc185408070"/>
      <w:bookmarkStart w:id="154" w:name="_Toc209932995"/>
      <w:bookmarkStart w:id="155" w:name="_Toc210026932"/>
      <w:bookmarkStart w:id="156" w:name="_Toc289083968"/>
      <w:bookmarkStart w:id="157" w:name="_Toc469577179"/>
      <w:r w:rsidRPr="000F1882">
        <w:t>3.3.1</w:t>
      </w:r>
      <w:r w:rsidRPr="000F1882">
        <w:tab/>
        <w:t>Transmission and distribution line losses for purchased electricity</w:t>
      </w:r>
      <w:bookmarkEnd w:id="152"/>
      <w:bookmarkEnd w:id="153"/>
      <w:bookmarkEnd w:id="154"/>
      <w:bookmarkEnd w:id="155"/>
      <w:bookmarkEnd w:id="156"/>
      <w:bookmarkEnd w:id="157"/>
    </w:p>
    <w:p w:rsidR="009E3385" w:rsidRPr="000F1882" w:rsidRDefault="009E3385" w:rsidP="00281186">
      <w:pPr>
        <w:jc w:val="left"/>
      </w:pPr>
      <w:r>
        <w:t xml:space="preserve">This </w:t>
      </w:r>
      <w:r w:rsidRPr="000F1882">
        <w:t xml:space="preserve">emission factor accounts for emissions from the </w:t>
      </w:r>
      <w:r>
        <w:t xml:space="preserve">additional </w:t>
      </w:r>
      <w:r w:rsidRPr="000F1882">
        <w:t xml:space="preserve">generation </w:t>
      </w:r>
      <w:r>
        <w:t>required to make up for</w:t>
      </w:r>
      <w:r w:rsidRPr="000F1882">
        <w:t xml:space="preserve"> electricity lost in the transmission and distribution network due to inefficiencies in the grid. Under </w:t>
      </w:r>
      <w:r w:rsidRPr="000F1882">
        <w:rPr>
          <w:i/>
        </w:rPr>
        <w:t>The GHG Protocol</w:t>
      </w:r>
      <w:r w:rsidRPr="000F1882">
        <w:t xml:space="preserve"> reporting framework, emissions from the generation of electricity that is consumed in a transmission and distribution system should be reported as a Scope 3 emission by end users.</w:t>
      </w:r>
      <w:r w:rsidR="0003419B">
        <w:t xml:space="preserve"> </w:t>
      </w:r>
    </w:p>
    <w:p w:rsidR="009E3385" w:rsidRPr="000F1882" w:rsidRDefault="009E3385" w:rsidP="00281186">
      <w:pPr>
        <w:jc w:val="left"/>
      </w:pPr>
    </w:p>
    <w:p w:rsidR="00EC1311" w:rsidRDefault="009E3385" w:rsidP="00281186">
      <w:pPr>
        <w:jc w:val="left"/>
      </w:pPr>
      <w:r w:rsidRPr="000F1882">
        <w:t>The emission factor for transmission and distribution line losses is the difference between the generation and consumption emission factors</w:t>
      </w:r>
      <w:r w:rsidR="005B647B">
        <w:t>.</w:t>
      </w:r>
      <w:r w:rsidR="00A63DC6">
        <w:t xml:space="preserve"> </w:t>
      </w:r>
      <w:r w:rsidR="009949A1">
        <w:t xml:space="preserve">The emission factor for the </w:t>
      </w:r>
      <w:r w:rsidR="00DB061C">
        <w:t>201</w:t>
      </w:r>
      <w:r w:rsidR="00254E7A">
        <w:t>4</w:t>
      </w:r>
      <w:r w:rsidR="00DB061C">
        <w:t xml:space="preserve"> </w:t>
      </w:r>
      <w:r w:rsidR="009949A1">
        <w:t xml:space="preserve">calendar year is shown in </w:t>
      </w:r>
      <w:r w:rsidR="00EB1450">
        <w:t>table</w:t>
      </w:r>
      <w:r w:rsidR="009949A1">
        <w:t xml:space="preserve"> </w:t>
      </w:r>
      <w:r w:rsidR="00F52B4F">
        <w:t>6</w:t>
      </w:r>
      <w:r w:rsidR="009949A1">
        <w:t>.</w:t>
      </w:r>
    </w:p>
    <w:p w:rsidR="009E3385" w:rsidRPr="000F1882" w:rsidRDefault="009E3385" w:rsidP="0033688C"/>
    <w:p w:rsidR="009E3385" w:rsidRDefault="009E3385" w:rsidP="0033688C">
      <w:pPr>
        <w:pStyle w:val="Table"/>
      </w:pPr>
      <w:bookmarkStart w:id="158" w:name="_Ref208388405"/>
      <w:bookmarkStart w:id="159" w:name="_Toc210024151"/>
      <w:bookmarkStart w:id="160" w:name="_Toc289084086"/>
      <w:bookmarkStart w:id="161" w:name="_Toc469577145"/>
      <w:r w:rsidRPr="000F1882">
        <w:t xml:space="preserve">Table </w:t>
      </w:r>
      <w:r w:rsidR="009E0695">
        <w:t>6</w:t>
      </w:r>
      <w:bookmarkEnd w:id="158"/>
      <w:r w:rsidRPr="000F1882">
        <w:t>:</w:t>
      </w:r>
      <w:r w:rsidRPr="000F1882">
        <w:tab/>
        <w:t>Transmission and distribution line losses for purchased electricity</w:t>
      </w:r>
      <w:bookmarkEnd w:id="159"/>
      <w:bookmarkEnd w:id="160"/>
      <w:bookmarkEnd w:id="161"/>
    </w:p>
    <w:tbl>
      <w:tblPr>
        <w:tblW w:w="8515" w:type="dxa"/>
        <w:tblInd w:w="98" w:type="dxa"/>
        <w:tblLook w:val="04A0" w:firstRow="1" w:lastRow="0" w:firstColumn="1" w:lastColumn="0" w:noHBand="0" w:noVBand="1"/>
      </w:tblPr>
      <w:tblGrid>
        <w:gridCol w:w="5113"/>
        <w:gridCol w:w="851"/>
        <w:gridCol w:w="2551"/>
      </w:tblGrid>
      <w:tr w:rsidR="00EE32A2" w:rsidRPr="00EE32A2" w:rsidTr="00EE32A2">
        <w:trPr>
          <w:trHeight w:val="636"/>
        </w:trPr>
        <w:tc>
          <w:tcPr>
            <w:tcW w:w="5113"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bottom"/>
            <w:hideMark/>
          </w:tcPr>
          <w:p w:rsidR="00EE32A2" w:rsidRPr="00EE32A2" w:rsidRDefault="00EE32A2" w:rsidP="00973F7C">
            <w:pPr>
              <w:spacing w:before="60" w:after="60"/>
              <w:jc w:val="left"/>
              <w:rPr>
                <w:rFonts w:ascii="Arial" w:hAnsi="Arial" w:cs="Arial"/>
                <w:b/>
                <w:bCs/>
                <w:sz w:val="16"/>
                <w:szCs w:val="16"/>
                <w:lang w:eastAsia="en-NZ"/>
              </w:rPr>
            </w:pPr>
            <w:r w:rsidRPr="00EE32A2">
              <w:rPr>
                <w:rFonts w:ascii="Arial" w:hAnsi="Arial" w:cs="Arial"/>
                <w:b/>
                <w:bCs/>
                <w:sz w:val="16"/>
                <w:szCs w:val="16"/>
                <w:lang w:eastAsia="en-NZ"/>
              </w:rPr>
              <w:t>Emission source</w:t>
            </w:r>
          </w:p>
        </w:tc>
        <w:tc>
          <w:tcPr>
            <w:tcW w:w="851"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bottom"/>
            <w:hideMark/>
          </w:tcPr>
          <w:p w:rsidR="00EE32A2" w:rsidRPr="00EE32A2" w:rsidRDefault="00EE32A2" w:rsidP="00973F7C">
            <w:pPr>
              <w:spacing w:before="60" w:after="60"/>
              <w:jc w:val="left"/>
              <w:rPr>
                <w:rFonts w:ascii="Arial" w:hAnsi="Arial" w:cs="Arial"/>
                <w:b/>
                <w:bCs/>
                <w:sz w:val="16"/>
                <w:szCs w:val="16"/>
                <w:lang w:eastAsia="en-NZ"/>
              </w:rPr>
            </w:pPr>
            <w:r w:rsidRPr="00EE32A2">
              <w:rPr>
                <w:rFonts w:ascii="Arial" w:hAnsi="Arial" w:cs="Arial"/>
                <w:b/>
                <w:bCs/>
                <w:sz w:val="16"/>
                <w:szCs w:val="16"/>
                <w:lang w:eastAsia="en-NZ"/>
              </w:rPr>
              <w:t>Unit</w:t>
            </w:r>
          </w:p>
        </w:tc>
        <w:tc>
          <w:tcPr>
            <w:tcW w:w="2551" w:type="dxa"/>
            <w:tcBorders>
              <w:top w:val="single" w:sz="8" w:space="0" w:color="auto"/>
              <w:left w:val="nil"/>
              <w:bottom w:val="nil"/>
              <w:right w:val="single" w:sz="8" w:space="0" w:color="auto"/>
            </w:tcBorders>
            <w:shd w:val="clear" w:color="000000" w:fill="D9D9D9"/>
            <w:vAlign w:val="bottom"/>
            <w:hideMark/>
          </w:tcPr>
          <w:p w:rsidR="00EE32A2" w:rsidRPr="00EE32A2" w:rsidRDefault="00EE32A2" w:rsidP="00973F7C">
            <w:pPr>
              <w:spacing w:before="60" w:after="60"/>
              <w:jc w:val="left"/>
              <w:rPr>
                <w:rFonts w:ascii="Arial" w:hAnsi="Arial" w:cs="Arial"/>
                <w:b/>
                <w:bCs/>
                <w:sz w:val="16"/>
                <w:szCs w:val="16"/>
                <w:lang w:eastAsia="en-NZ"/>
              </w:rPr>
            </w:pPr>
            <w:r w:rsidRPr="00EE32A2">
              <w:rPr>
                <w:rFonts w:ascii="Arial" w:hAnsi="Arial" w:cs="Arial"/>
                <w:b/>
                <w:bCs/>
                <w:sz w:val="16"/>
                <w:szCs w:val="16"/>
                <w:lang w:eastAsia="en-NZ"/>
              </w:rPr>
              <w:t>Emission factor total CO</w:t>
            </w:r>
            <w:r w:rsidRPr="00EE32A2">
              <w:rPr>
                <w:rFonts w:ascii="Arial" w:hAnsi="Arial" w:cs="Arial"/>
                <w:b/>
                <w:bCs/>
                <w:sz w:val="16"/>
                <w:szCs w:val="16"/>
                <w:vertAlign w:val="subscript"/>
                <w:lang w:eastAsia="en-NZ"/>
              </w:rPr>
              <w:t>2</w:t>
            </w:r>
            <w:r w:rsidRPr="00EE32A2">
              <w:rPr>
                <w:rFonts w:ascii="Arial" w:hAnsi="Arial" w:cs="Arial"/>
                <w:b/>
                <w:bCs/>
                <w:sz w:val="16"/>
                <w:szCs w:val="16"/>
                <w:lang w:eastAsia="en-NZ"/>
              </w:rPr>
              <w:t>-e</w:t>
            </w:r>
          </w:p>
        </w:tc>
      </w:tr>
      <w:tr w:rsidR="00EE32A2" w:rsidRPr="00EE32A2" w:rsidTr="00EE32A2">
        <w:trPr>
          <w:trHeight w:val="42"/>
        </w:trPr>
        <w:tc>
          <w:tcPr>
            <w:tcW w:w="5113" w:type="dxa"/>
            <w:vMerge/>
            <w:tcBorders>
              <w:top w:val="single" w:sz="8" w:space="0" w:color="auto"/>
              <w:left w:val="single" w:sz="8" w:space="0" w:color="auto"/>
              <w:bottom w:val="single" w:sz="8" w:space="0" w:color="000000"/>
              <w:right w:val="single" w:sz="8" w:space="0" w:color="auto"/>
            </w:tcBorders>
            <w:vAlign w:val="center"/>
            <w:hideMark/>
          </w:tcPr>
          <w:p w:rsidR="00EE32A2" w:rsidRPr="00EE32A2" w:rsidRDefault="00EE32A2" w:rsidP="00973F7C">
            <w:pPr>
              <w:spacing w:before="60" w:after="60"/>
              <w:jc w:val="left"/>
              <w:rPr>
                <w:rFonts w:ascii="Arial" w:hAnsi="Arial" w:cs="Arial"/>
                <w:b/>
                <w:bCs/>
                <w:sz w:val="16"/>
                <w:szCs w:val="16"/>
                <w:lang w:eastAsia="en-NZ"/>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EE32A2" w:rsidRPr="00EE32A2" w:rsidRDefault="00EE32A2" w:rsidP="00973F7C">
            <w:pPr>
              <w:spacing w:before="60" w:after="60"/>
              <w:jc w:val="left"/>
              <w:rPr>
                <w:rFonts w:ascii="Arial" w:hAnsi="Arial" w:cs="Arial"/>
                <w:b/>
                <w:bCs/>
                <w:sz w:val="16"/>
                <w:szCs w:val="16"/>
                <w:lang w:eastAsia="en-NZ"/>
              </w:rPr>
            </w:pPr>
          </w:p>
        </w:tc>
        <w:tc>
          <w:tcPr>
            <w:tcW w:w="2551" w:type="dxa"/>
            <w:tcBorders>
              <w:top w:val="nil"/>
              <w:left w:val="nil"/>
              <w:bottom w:val="single" w:sz="8" w:space="0" w:color="auto"/>
              <w:right w:val="single" w:sz="8" w:space="0" w:color="auto"/>
            </w:tcBorders>
            <w:shd w:val="clear" w:color="000000" w:fill="D9D9D9"/>
            <w:vAlign w:val="bottom"/>
            <w:hideMark/>
          </w:tcPr>
          <w:p w:rsidR="00EE32A2" w:rsidRPr="00EE32A2" w:rsidRDefault="00EE32A2" w:rsidP="00973F7C">
            <w:pPr>
              <w:spacing w:before="60" w:after="60"/>
              <w:jc w:val="left"/>
              <w:rPr>
                <w:rFonts w:ascii="Arial" w:hAnsi="Arial" w:cs="Arial"/>
                <w:b/>
                <w:bCs/>
                <w:sz w:val="16"/>
                <w:szCs w:val="16"/>
                <w:lang w:eastAsia="en-NZ"/>
              </w:rPr>
            </w:pPr>
            <w:r w:rsidRPr="00EE32A2">
              <w:rPr>
                <w:rFonts w:ascii="Arial" w:hAnsi="Arial" w:cs="Arial"/>
                <w:b/>
                <w:bCs/>
                <w:sz w:val="16"/>
                <w:szCs w:val="16"/>
                <w:lang w:eastAsia="en-NZ"/>
              </w:rPr>
              <w:t>(kg CO</w:t>
            </w:r>
            <w:r w:rsidRPr="00EE32A2">
              <w:rPr>
                <w:rFonts w:ascii="Arial" w:hAnsi="Arial" w:cs="Arial"/>
                <w:b/>
                <w:bCs/>
                <w:sz w:val="16"/>
                <w:szCs w:val="16"/>
                <w:vertAlign w:val="subscript"/>
                <w:lang w:eastAsia="en-NZ"/>
              </w:rPr>
              <w:t>2</w:t>
            </w:r>
            <w:r w:rsidRPr="00EE32A2">
              <w:rPr>
                <w:rFonts w:ascii="Arial" w:hAnsi="Arial" w:cs="Arial"/>
                <w:b/>
                <w:bCs/>
                <w:sz w:val="16"/>
                <w:szCs w:val="16"/>
                <w:lang w:eastAsia="en-NZ"/>
              </w:rPr>
              <w:t>-e/unit)</w:t>
            </w:r>
          </w:p>
        </w:tc>
      </w:tr>
      <w:tr w:rsidR="00EE32A2" w:rsidRPr="00EE32A2" w:rsidTr="00EE32A2">
        <w:trPr>
          <w:cantSplit/>
          <w:trHeight w:val="276"/>
        </w:trPr>
        <w:tc>
          <w:tcPr>
            <w:tcW w:w="5113" w:type="dxa"/>
            <w:tcBorders>
              <w:top w:val="nil"/>
              <w:left w:val="single" w:sz="8" w:space="0" w:color="auto"/>
              <w:bottom w:val="single" w:sz="8" w:space="0" w:color="auto"/>
              <w:right w:val="single" w:sz="8" w:space="0" w:color="auto"/>
            </w:tcBorders>
            <w:shd w:val="clear" w:color="auto" w:fill="auto"/>
            <w:noWrap/>
            <w:hideMark/>
          </w:tcPr>
          <w:p w:rsidR="00EE32A2" w:rsidRPr="00EE32A2" w:rsidRDefault="00EE32A2" w:rsidP="00973F7C">
            <w:pPr>
              <w:spacing w:before="60" w:after="60"/>
              <w:jc w:val="left"/>
              <w:rPr>
                <w:rFonts w:ascii="Arial" w:hAnsi="Arial" w:cs="Arial"/>
                <w:sz w:val="16"/>
                <w:szCs w:val="16"/>
                <w:lang w:eastAsia="en-NZ"/>
              </w:rPr>
            </w:pPr>
            <w:r w:rsidRPr="00EE32A2">
              <w:rPr>
                <w:rFonts w:ascii="Arial" w:hAnsi="Arial" w:cs="Arial"/>
                <w:sz w:val="16"/>
                <w:szCs w:val="16"/>
                <w:lang w:eastAsia="en-NZ"/>
              </w:rPr>
              <w:t>Transmission and distribution losses for purchased electricity</w:t>
            </w:r>
          </w:p>
        </w:tc>
        <w:tc>
          <w:tcPr>
            <w:tcW w:w="851" w:type="dxa"/>
            <w:tcBorders>
              <w:top w:val="nil"/>
              <w:left w:val="nil"/>
              <w:bottom w:val="single" w:sz="8" w:space="0" w:color="auto"/>
              <w:right w:val="single" w:sz="8" w:space="0" w:color="auto"/>
            </w:tcBorders>
            <w:shd w:val="clear" w:color="auto" w:fill="auto"/>
            <w:noWrap/>
            <w:hideMark/>
          </w:tcPr>
          <w:p w:rsidR="00EE32A2" w:rsidRPr="00EE32A2" w:rsidRDefault="00EE32A2" w:rsidP="00973F7C">
            <w:pPr>
              <w:spacing w:before="60" w:after="60"/>
              <w:jc w:val="left"/>
              <w:rPr>
                <w:rFonts w:ascii="Arial" w:hAnsi="Arial" w:cs="Arial"/>
                <w:sz w:val="16"/>
                <w:szCs w:val="16"/>
                <w:lang w:eastAsia="en-NZ"/>
              </w:rPr>
            </w:pPr>
            <w:r w:rsidRPr="00EE32A2">
              <w:rPr>
                <w:rFonts w:ascii="Arial" w:hAnsi="Arial" w:cs="Arial"/>
                <w:sz w:val="16"/>
                <w:szCs w:val="16"/>
                <w:lang w:eastAsia="en-NZ"/>
              </w:rPr>
              <w:t>kWh</w:t>
            </w:r>
          </w:p>
        </w:tc>
        <w:tc>
          <w:tcPr>
            <w:tcW w:w="2551" w:type="dxa"/>
            <w:tcBorders>
              <w:top w:val="nil"/>
              <w:left w:val="nil"/>
              <w:bottom w:val="single" w:sz="8" w:space="0" w:color="auto"/>
              <w:right w:val="single" w:sz="8" w:space="0" w:color="auto"/>
            </w:tcBorders>
            <w:shd w:val="clear" w:color="auto" w:fill="auto"/>
            <w:noWrap/>
            <w:hideMark/>
          </w:tcPr>
          <w:p w:rsidR="00EE32A2" w:rsidRPr="00EE32A2" w:rsidRDefault="00254E7A" w:rsidP="00973F7C">
            <w:pPr>
              <w:spacing w:before="60" w:after="60"/>
              <w:jc w:val="right"/>
              <w:rPr>
                <w:rFonts w:ascii="Arial" w:hAnsi="Arial" w:cs="Arial"/>
                <w:sz w:val="16"/>
                <w:szCs w:val="16"/>
                <w:lang w:eastAsia="en-NZ"/>
              </w:rPr>
            </w:pPr>
            <w:r>
              <w:rPr>
                <w:rFonts w:ascii="Arial" w:hAnsi="Arial" w:cs="Arial"/>
                <w:sz w:val="16"/>
                <w:szCs w:val="16"/>
                <w:lang w:eastAsia="en-NZ"/>
              </w:rPr>
              <w:t>0.0097</w:t>
            </w:r>
          </w:p>
        </w:tc>
      </w:tr>
    </w:tbl>
    <w:p w:rsidR="009E3385" w:rsidRPr="000F1882" w:rsidRDefault="009E3385" w:rsidP="0033688C"/>
    <w:p w:rsidR="009E3385" w:rsidRPr="000F1882" w:rsidRDefault="009E3385" w:rsidP="00281186">
      <w:pPr>
        <w:pStyle w:val="Heading4"/>
        <w:jc w:val="left"/>
      </w:pPr>
      <w:bookmarkStart w:id="162" w:name="_Toc185407839"/>
      <w:r w:rsidRPr="000F1882">
        <w:t>Assumptions</w:t>
      </w:r>
      <w:bookmarkEnd w:id="162"/>
    </w:p>
    <w:p w:rsidR="009E3385" w:rsidRPr="000F1882" w:rsidRDefault="009E3385" w:rsidP="00281186">
      <w:pPr>
        <w:jc w:val="left"/>
      </w:pPr>
      <w:r w:rsidRPr="000F1882">
        <w:t>This emission factor covers grid</w:t>
      </w:r>
      <w:r w:rsidR="003432D8">
        <w:t>-</w:t>
      </w:r>
      <w:r w:rsidRPr="000F1882">
        <w:t>purchased electricity, bought by an end user. It is an average figure and therefore makes no allowance for distance from off-take point,</w:t>
      </w:r>
      <w:r w:rsidR="004330E8">
        <w:t xml:space="preserve"> </w:t>
      </w:r>
      <w:r w:rsidRPr="000F1882">
        <w:t>or other factors that may vary between individual consumers.</w:t>
      </w:r>
      <w:r w:rsidRPr="004330E8">
        <w:rPr>
          <w:rStyle w:val="FootnoteReference"/>
        </w:rPr>
        <w:footnoteReference w:id="11"/>
      </w:r>
    </w:p>
    <w:p w:rsidR="004330E8" w:rsidRDefault="004330E8" w:rsidP="00281186">
      <w:pPr>
        <w:jc w:val="left"/>
      </w:pPr>
    </w:p>
    <w:p w:rsidR="009E3385" w:rsidRDefault="009E3385" w:rsidP="00281186">
      <w:pPr>
        <w:jc w:val="left"/>
      </w:pPr>
      <w:r w:rsidRPr="000F1882">
        <w:t>This emission factor does not incorporate the emissions associated with the extraction, production and transport of the fuels burnt to produce the electricity.</w:t>
      </w:r>
    </w:p>
    <w:p w:rsidR="001F1412" w:rsidRDefault="001F1412" w:rsidP="00281186">
      <w:pPr>
        <w:jc w:val="left"/>
      </w:pPr>
      <w:r>
        <w:lastRenderedPageBreak/>
        <w:t>As with all emissions factors for purchased electricity emissions factors for transmission and distribution</w:t>
      </w:r>
      <w:r w:rsidR="008C7FB1">
        <w:t xml:space="preserve"> line losses</w:t>
      </w:r>
      <w:r>
        <w:t xml:space="preserve"> are calculated as a national average</w:t>
      </w:r>
      <w:r w:rsidR="008C7FB1">
        <w:t>.</w:t>
      </w:r>
    </w:p>
    <w:p w:rsidR="004330E8" w:rsidRPr="000F1882" w:rsidRDefault="004330E8" w:rsidP="004330E8"/>
    <w:p w:rsidR="009E3385" w:rsidRPr="000F1882" w:rsidRDefault="009E3385" w:rsidP="004330E8">
      <w:pPr>
        <w:pStyle w:val="Heading4"/>
      </w:pPr>
      <w:r w:rsidRPr="000F1882">
        <w:t>Example calculation</w:t>
      </w:r>
    </w:p>
    <w:p w:rsidR="009E3385" w:rsidRPr="000F1882" w:rsidRDefault="009E3385" w:rsidP="004330E8">
      <w:r w:rsidRPr="000F1882">
        <w:t>An organisation uses 800,000 kWh of electricity in</w:t>
      </w:r>
      <w:r w:rsidR="00AA1851">
        <w:t xml:space="preserve"> 201</w:t>
      </w:r>
      <w:r w:rsidR="00D03BE0">
        <w:t>6</w:t>
      </w:r>
      <w:r w:rsidRPr="000F1882">
        <w:t xml:space="preserve">. </w:t>
      </w:r>
      <w:r w:rsidR="003432D8">
        <w:t>Its</w:t>
      </w:r>
      <w:r w:rsidR="003432D8" w:rsidRPr="000F1882">
        <w:t xml:space="preserve"> </w:t>
      </w:r>
      <w:r w:rsidRPr="000F1882">
        <w:t>Scope 3 emissions from transmission and distribution line losses for purchased electricity are:</w:t>
      </w:r>
    </w:p>
    <w:p w:rsidR="009E3385" w:rsidRPr="000F1882" w:rsidRDefault="009E3385" w:rsidP="004330E8">
      <w:pPr>
        <w:spacing w:before="120"/>
        <w:ind w:left="397"/>
      </w:pPr>
      <w:r w:rsidRPr="000F1882">
        <w:t>Total CO</w:t>
      </w:r>
      <w:r w:rsidRPr="000F1882">
        <w:rPr>
          <w:vertAlign w:val="subscript"/>
        </w:rPr>
        <w:t>2</w:t>
      </w:r>
      <w:r w:rsidRPr="000F1882">
        <w:t xml:space="preserve">-e emissions = 800,000 </w:t>
      </w:r>
      <w:r w:rsidR="00D863F9">
        <w:t>x</w:t>
      </w:r>
      <w:r w:rsidRPr="000F1882">
        <w:t xml:space="preserve"> </w:t>
      </w:r>
      <w:r w:rsidR="001D49F8">
        <w:t>0</w:t>
      </w:r>
      <w:r w:rsidR="006562CE">
        <w:t>.0097</w:t>
      </w:r>
      <w:r w:rsidR="00EE32A2" w:rsidRPr="000F1882">
        <w:t xml:space="preserve"> </w:t>
      </w:r>
      <w:r w:rsidRPr="000F1882">
        <w:t xml:space="preserve">= </w:t>
      </w:r>
      <w:r w:rsidR="00CB6BFD">
        <w:t>7,760</w:t>
      </w:r>
      <w:r w:rsidRPr="000F1882">
        <w:t xml:space="preserve"> kg CO</w:t>
      </w:r>
      <w:r w:rsidRPr="000F1882">
        <w:rPr>
          <w:vertAlign w:val="subscript"/>
        </w:rPr>
        <w:t>2</w:t>
      </w:r>
      <w:r w:rsidRPr="000F1882">
        <w:t>-e</w:t>
      </w:r>
    </w:p>
    <w:p w:rsidR="009E3385" w:rsidRPr="000F1882" w:rsidRDefault="009E3385" w:rsidP="004330E8"/>
    <w:p w:rsidR="009E3385" w:rsidRPr="000F1882" w:rsidRDefault="009E3385" w:rsidP="00E328F0">
      <w:pPr>
        <w:pStyle w:val="Heading3"/>
      </w:pPr>
      <w:bookmarkStart w:id="163" w:name="_Toc185407840"/>
      <w:bookmarkStart w:id="164" w:name="_Toc185408071"/>
      <w:bookmarkStart w:id="165" w:name="_Toc209932996"/>
      <w:bookmarkStart w:id="166" w:name="_Toc210026933"/>
      <w:bookmarkStart w:id="167" w:name="_Toc289083969"/>
      <w:bookmarkStart w:id="168" w:name="_Toc469577180"/>
      <w:r w:rsidRPr="000F1882">
        <w:t>3.3.2</w:t>
      </w:r>
      <w:r w:rsidRPr="000F1882">
        <w:tab/>
        <w:t>Transmission and distribution losses for distributed</w:t>
      </w:r>
      <w:r w:rsidRPr="004330E8">
        <w:rPr>
          <w:rStyle w:val="FootnoteReference"/>
        </w:rPr>
        <w:footnoteReference w:id="12"/>
      </w:r>
      <w:r w:rsidRPr="000F1882">
        <w:rPr>
          <w:sz w:val="20"/>
        </w:rPr>
        <w:t xml:space="preserve"> </w:t>
      </w:r>
      <w:r w:rsidRPr="000F1882">
        <w:t>natural gas</w:t>
      </w:r>
      <w:bookmarkEnd w:id="163"/>
      <w:bookmarkEnd w:id="164"/>
      <w:bookmarkEnd w:id="165"/>
      <w:bookmarkEnd w:id="166"/>
      <w:bookmarkEnd w:id="167"/>
      <w:bookmarkEnd w:id="168"/>
    </w:p>
    <w:p w:rsidR="009E3385" w:rsidRPr="000F1882" w:rsidRDefault="009E3385" w:rsidP="00E328F0">
      <w:pPr>
        <w:jc w:val="left"/>
      </w:pPr>
      <w:r w:rsidRPr="000F1882">
        <w:t>The transmission and distribution losses emission factor for distributed natural gas</w:t>
      </w:r>
      <w:r>
        <w:t>,</w:t>
      </w:r>
      <w:r w:rsidRPr="000F1882">
        <w:t xml:space="preserve"> accounts for fugitive emissions from the transmission and distribution system</w:t>
      </w:r>
      <w:r w:rsidR="002C6F9D">
        <w:t>. These emissions</w:t>
      </w:r>
      <w:r w:rsidRPr="000F1882">
        <w:t xml:space="preserve"> occur during the delivery of the gas to the end user.</w:t>
      </w:r>
    </w:p>
    <w:p w:rsidR="009E3385" w:rsidRPr="000F1882" w:rsidRDefault="009E3385" w:rsidP="00E328F0">
      <w:pPr>
        <w:jc w:val="left"/>
      </w:pPr>
    </w:p>
    <w:p w:rsidR="009E3385" w:rsidRPr="000F1882" w:rsidRDefault="002A5794" w:rsidP="00E328F0">
      <w:pPr>
        <w:jc w:val="left"/>
      </w:pPr>
      <w:r>
        <w:t>The</w:t>
      </w:r>
      <w:r w:rsidRPr="000F1882">
        <w:t xml:space="preserve"> </w:t>
      </w:r>
      <w:r w:rsidR="009E3385" w:rsidRPr="000F1882">
        <w:t xml:space="preserve">emission factor </w:t>
      </w:r>
      <w:r>
        <w:t>for transmission and distribution losses for distributed natural gas is</w:t>
      </w:r>
      <w:r w:rsidRPr="000F1882">
        <w:t xml:space="preserve"> </w:t>
      </w:r>
      <w:r w:rsidR="009E3385" w:rsidRPr="000F1882">
        <w:t xml:space="preserve">derived </w:t>
      </w:r>
      <w:r w:rsidR="009E3385">
        <w:t>from</w:t>
      </w:r>
      <w:r w:rsidR="009E3385" w:rsidRPr="000F1882">
        <w:t xml:space="preserve"> information </w:t>
      </w:r>
      <w:r w:rsidR="008526C0">
        <w:t xml:space="preserve">from the Ministry of </w:t>
      </w:r>
      <w:r w:rsidR="00022E37">
        <w:t xml:space="preserve">Business, </w:t>
      </w:r>
      <w:r w:rsidR="008526C0">
        <w:t>Innovation</w:t>
      </w:r>
      <w:r w:rsidR="00022E37">
        <w:t>, and Employment</w:t>
      </w:r>
      <w:r w:rsidR="00BF1E46">
        <w:t xml:space="preserve"> </w:t>
      </w:r>
      <w:r w:rsidR="009E3385">
        <w:t>in</w:t>
      </w:r>
      <w:r w:rsidR="009E3385" w:rsidRPr="000F1882">
        <w:t xml:space="preserve"> the </w:t>
      </w:r>
      <w:r w:rsidR="009E3385" w:rsidRPr="000F1882">
        <w:rPr>
          <w:i/>
        </w:rPr>
        <w:t xml:space="preserve">Energy Greenhouse Gas Emissions </w:t>
      </w:r>
      <w:r w:rsidR="0021207F">
        <w:rPr>
          <w:i/>
        </w:rPr>
        <w:t>201</w:t>
      </w:r>
      <w:r w:rsidR="00971AD7">
        <w:rPr>
          <w:i/>
        </w:rPr>
        <w:t>6</w:t>
      </w:r>
      <w:r w:rsidR="0021207F" w:rsidRPr="000F1882">
        <w:rPr>
          <w:i/>
        </w:rPr>
        <w:t xml:space="preserve"> </w:t>
      </w:r>
      <w:r w:rsidR="009E3385" w:rsidRPr="000F1882">
        <w:t xml:space="preserve">and </w:t>
      </w:r>
      <w:r w:rsidR="000D3DD2">
        <w:rPr>
          <w:i/>
        </w:rPr>
        <w:t xml:space="preserve">Energy in New Zealand </w:t>
      </w:r>
      <w:r w:rsidR="00971AD7">
        <w:rPr>
          <w:i/>
        </w:rPr>
        <w:t>2016</w:t>
      </w:r>
      <w:r w:rsidRPr="000F1882">
        <w:rPr>
          <w:i/>
        </w:rPr>
        <w:t xml:space="preserve"> </w:t>
      </w:r>
      <w:r w:rsidR="009E3385" w:rsidRPr="000F1882">
        <w:t>publications.</w:t>
      </w:r>
    </w:p>
    <w:p w:rsidR="009E3385" w:rsidRPr="000F1882" w:rsidRDefault="009E3385" w:rsidP="004330E8"/>
    <w:p w:rsidR="009E3385" w:rsidRPr="000F1882" w:rsidRDefault="009E3385" w:rsidP="004330E8">
      <w:pPr>
        <w:pStyle w:val="Table"/>
      </w:pPr>
      <w:bookmarkStart w:id="169" w:name="_Toc210024152"/>
      <w:bookmarkStart w:id="170" w:name="_Toc289084087"/>
      <w:bookmarkStart w:id="171" w:name="_Toc469577146"/>
      <w:r w:rsidRPr="000F1882">
        <w:t xml:space="preserve">Table </w:t>
      </w:r>
      <w:r w:rsidR="009E0695">
        <w:t>7</w:t>
      </w:r>
      <w:r w:rsidRPr="000F1882">
        <w:t>:</w:t>
      </w:r>
      <w:r w:rsidRPr="000F1882">
        <w:tab/>
        <w:t>Transmission and distribution losses for distributed natural gas</w:t>
      </w:r>
      <w:bookmarkEnd w:id="169"/>
      <w:bookmarkEnd w:id="170"/>
      <w:bookmarkEnd w:id="171"/>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241"/>
        <w:gridCol w:w="748"/>
        <w:gridCol w:w="2516"/>
      </w:tblGrid>
      <w:tr w:rsidR="00EB18DA" w:rsidRPr="004330E8" w:rsidTr="00EB18DA">
        <w:trPr>
          <w:cantSplit/>
        </w:trPr>
        <w:tc>
          <w:tcPr>
            <w:tcW w:w="5241" w:type="dxa"/>
            <w:shd w:val="clear" w:color="auto" w:fill="D9D9D9"/>
            <w:noWrap/>
            <w:vAlign w:val="bottom"/>
          </w:tcPr>
          <w:p w:rsidR="00EB18DA" w:rsidRPr="004330E8" w:rsidRDefault="00EB18DA" w:rsidP="00973F7C">
            <w:pPr>
              <w:pStyle w:val="TableText"/>
              <w:rPr>
                <w:b/>
              </w:rPr>
            </w:pPr>
            <w:r w:rsidRPr="004330E8">
              <w:rPr>
                <w:b/>
              </w:rPr>
              <w:t>Emission source</w:t>
            </w:r>
          </w:p>
        </w:tc>
        <w:tc>
          <w:tcPr>
            <w:tcW w:w="748" w:type="dxa"/>
            <w:shd w:val="clear" w:color="auto" w:fill="D9D9D9"/>
            <w:noWrap/>
            <w:vAlign w:val="bottom"/>
          </w:tcPr>
          <w:p w:rsidR="00EB18DA" w:rsidRPr="004330E8" w:rsidRDefault="00EB18DA" w:rsidP="00973F7C">
            <w:pPr>
              <w:pStyle w:val="TableText"/>
              <w:rPr>
                <w:b/>
              </w:rPr>
            </w:pPr>
            <w:r w:rsidRPr="004330E8">
              <w:rPr>
                <w:b/>
              </w:rPr>
              <w:t>Unit</w:t>
            </w:r>
            <w:r w:rsidRPr="004330E8">
              <w:rPr>
                <w:rStyle w:val="FootnoteReference"/>
              </w:rPr>
              <w:footnoteReference w:id="13"/>
            </w:r>
          </w:p>
        </w:tc>
        <w:tc>
          <w:tcPr>
            <w:tcW w:w="2516" w:type="dxa"/>
            <w:shd w:val="clear" w:color="auto" w:fill="D9D9D9"/>
            <w:vAlign w:val="bottom"/>
          </w:tcPr>
          <w:p w:rsidR="00EB18DA" w:rsidRPr="004330E8" w:rsidRDefault="00EB18DA" w:rsidP="00973F7C">
            <w:pPr>
              <w:pStyle w:val="TableText"/>
              <w:rPr>
                <w:b/>
              </w:rPr>
            </w:pPr>
            <w:r w:rsidRPr="004330E8">
              <w:rPr>
                <w:b/>
              </w:rPr>
              <w:t>Emission factor total CO</w:t>
            </w:r>
            <w:r w:rsidRPr="004330E8">
              <w:rPr>
                <w:b/>
                <w:vertAlign w:val="subscript"/>
              </w:rPr>
              <w:t>2</w:t>
            </w:r>
            <w:r w:rsidRPr="004330E8">
              <w:rPr>
                <w:b/>
              </w:rPr>
              <w:t>-e</w:t>
            </w:r>
            <w:r w:rsidRPr="004330E8">
              <w:rPr>
                <w:b/>
              </w:rPr>
              <w:br/>
              <w:t>(kg CO</w:t>
            </w:r>
            <w:r w:rsidRPr="004330E8">
              <w:rPr>
                <w:b/>
                <w:vertAlign w:val="subscript"/>
              </w:rPr>
              <w:t>2</w:t>
            </w:r>
            <w:r w:rsidRPr="004330E8">
              <w:rPr>
                <w:b/>
              </w:rPr>
              <w:t>-e/unit)</w:t>
            </w:r>
          </w:p>
        </w:tc>
      </w:tr>
      <w:tr w:rsidR="00EB18DA" w:rsidRPr="000F1882" w:rsidTr="00FF34D0">
        <w:trPr>
          <w:cantSplit/>
        </w:trPr>
        <w:tc>
          <w:tcPr>
            <w:tcW w:w="5241" w:type="dxa"/>
            <w:vMerge w:val="restart"/>
            <w:shd w:val="clear" w:color="auto" w:fill="auto"/>
            <w:noWrap/>
            <w:vAlign w:val="center"/>
          </w:tcPr>
          <w:p w:rsidR="00EB18DA" w:rsidRPr="000F1882" w:rsidRDefault="00EB18DA" w:rsidP="00FF34D0">
            <w:pPr>
              <w:pStyle w:val="TableText"/>
            </w:pPr>
            <w:r w:rsidRPr="000F1882">
              <w:t>Transmission and distribution losses for distributed natural gas</w:t>
            </w:r>
          </w:p>
        </w:tc>
        <w:tc>
          <w:tcPr>
            <w:tcW w:w="748" w:type="dxa"/>
            <w:tcBorders>
              <w:bottom w:val="single" w:sz="4" w:space="0" w:color="auto"/>
            </w:tcBorders>
            <w:shd w:val="clear" w:color="auto" w:fill="auto"/>
            <w:noWrap/>
          </w:tcPr>
          <w:p w:rsidR="00EB18DA" w:rsidRPr="000F1882" w:rsidRDefault="00EB18DA" w:rsidP="00973F7C">
            <w:pPr>
              <w:pStyle w:val="TableText"/>
            </w:pPr>
            <w:r w:rsidRPr="000F1882">
              <w:t>kWh</w:t>
            </w:r>
          </w:p>
        </w:tc>
        <w:tc>
          <w:tcPr>
            <w:tcW w:w="2516" w:type="dxa"/>
            <w:tcBorders>
              <w:bottom w:val="single" w:sz="4" w:space="0" w:color="auto"/>
            </w:tcBorders>
            <w:shd w:val="clear" w:color="auto" w:fill="auto"/>
            <w:noWrap/>
          </w:tcPr>
          <w:p w:rsidR="00EB18DA" w:rsidRPr="00172188" w:rsidRDefault="00A50DBE" w:rsidP="00973F7C">
            <w:pPr>
              <w:pStyle w:val="TableText"/>
              <w:jc w:val="right"/>
              <w:rPr>
                <w:szCs w:val="16"/>
              </w:rPr>
            </w:pPr>
            <w:r w:rsidRPr="00A50DBE">
              <w:rPr>
                <w:rFonts w:cs="Arial"/>
                <w:szCs w:val="16"/>
              </w:rPr>
              <w:t>0.022</w:t>
            </w:r>
            <w:r w:rsidR="004B3755">
              <w:rPr>
                <w:rFonts w:cs="Arial"/>
                <w:szCs w:val="16"/>
              </w:rPr>
              <w:t>9</w:t>
            </w:r>
          </w:p>
        </w:tc>
      </w:tr>
      <w:tr w:rsidR="00EB18DA" w:rsidRPr="000F1882" w:rsidTr="00EB18DA">
        <w:trPr>
          <w:cantSplit/>
        </w:trPr>
        <w:tc>
          <w:tcPr>
            <w:tcW w:w="5241" w:type="dxa"/>
            <w:vMerge/>
            <w:shd w:val="clear" w:color="auto" w:fill="auto"/>
            <w:noWrap/>
          </w:tcPr>
          <w:p w:rsidR="00EB18DA" w:rsidRPr="000F1882" w:rsidRDefault="00EB18DA" w:rsidP="00973F7C">
            <w:pPr>
              <w:pStyle w:val="TableText"/>
            </w:pPr>
          </w:p>
        </w:tc>
        <w:tc>
          <w:tcPr>
            <w:tcW w:w="748" w:type="dxa"/>
            <w:tcBorders>
              <w:top w:val="single" w:sz="4" w:space="0" w:color="auto"/>
            </w:tcBorders>
            <w:shd w:val="clear" w:color="auto" w:fill="auto"/>
            <w:noWrap/>
          </w:tcPr>
          <w:p w:rsidR="00EB18DA" w:rsidRPr="000F1882" w:rsidRDefault="00EB18DA" w:rsidP="00973F7C">
            <w:pPr>
              <w:pStyle w:val="TableText"/>
            </w:pPr>
            <w:r w:rsidRPr="000F1882">
              <w:t>GJ</w:t>
            </w:r>
          </w:p>
        </w:tc>
        <w:tc>
          <w:tcPr>
            <w:tcW w:w="2516" w:type="dxa"/>
            <w:tcBorders>
              <w:top w:val="single" w:sz="4" w:space="0" w:color="auto"/>
            </w:tcBorders>
            <w:shd w:val="clear" w:color="auto" w:fill="auto"/>
            <w:noWrap/>
          </w:tcPr>
          <w:p w:rsidR="00EB18DA" w:rsidRPr="00172188" w:rsidRDefault="004B3755" w:rsidP="00973F7C">
            <w:pPr>
              <w:pStyle w:val="TableText"/>
              <w:jc w:val="right"/>
              <w:rPr>
                <w:szCs w:val="16"/>
              </w:rPr>
            </w:pPr>
            <w:r>
              <w:rPr>
                <w:rFonts w:cs="Arial"/>
                <w:szCs w:val="16"/>
              </w:rPr>
              <w:t>6.36</w:t>
            </w:r>
          </w:p>
        </w:tc>
      </w:tr>
    </w:tbl>
    <w:p w:rsidR="009E3385" w:rsidRPr="000F1882" w:rsidRDefault="009E3385" w:rsidP="004330E8"/>
    <w:p w:rsidR="009E3385" w:rsidRPr="000F1882" w:rsidRDefault="009E3385" w:rsidP="00E328F0">
      <w:pPr>
        <w:pStyle w:val="Heading4"/>
        <w:jc w:val="left"/>
      </w:pPr>
      <w:bookmarkStart w:id="172" w:name="_Toc185407841"/>
      <w:r w:rsidRPr="000F1882">
        <w:t>Assumptions</w:t>
      </w:r>
      <w:bookmarkEnd w:id="172"/>
    </w:p>
    <w:p w:rsidR="009E3385" w:rsidRPr="000F1882" w:rsidRDefault="009E3385" w:rsidP="00E328F0">
      <w:pPr>
        <w:jc w:val="left"/>
      </w:pPr>
      <w:r>
        <w:t>These emission factors</w:t>
      </w:r>
      <w:r w:rsidRPr="000F1882">
        <w:t xml:space="preserve"> represent an estimate of the average amount of CO</w:t>
      </w:r>
      <w:r w:rsidRPr="000F1882">
        <w:rPr>
          <w:vertAlign w:val="subscript"/>
        </w:rPr>
        <w:t>2</w:t>
      </w:r>
      <w:r w:rsidRPr="000F1882">
        <w:t xml:space="preserve">-e emitted from losses associated with the delivery (transmission and distribution) of </w:t>
      </w:r>
      <w:r w:rsidR="00270BF0">
        <w:t>each</w:t>
      </w:r>
      <w:r w:rsidRPr="000F1882">
        <w:t xml:space="preserve"> unit of gas consumed through local distribution networks </w:t>
      </w:r>
      <w:r>
        <w:t>in</w:t>
      </w:r>
      <w:r w:rsidRPr="000F1882">
        <w:t xml:space="preserve"> </w:t>
      </w:r>
      <w:r w:rsidR="00814108">
        <w:t>201</w:t>
      </w:r>
      <w:r w:rsidR="004B3755">
        <w:t>4</w:t>
      </w:r>
      <w:r w:rsidRPr="000F1882">
        <w:t xml:space="preserve">. </w:t>
      </w:r>
      <w:r>
        <w:t>They are</w:t>
      </w:r>
      <w:r w:rsidRPr="000F1882">
        <w:t xml:space="preserve"> average figure</w:t>
      </w:r>
      <w:r>
        <w:t>s</w:t>
      </w:r>
      <w:r w:rsidRPr="000F1882">
        <w:t xml:space="preserve"> and therefore make no allowance for distance from off-take point, or other factors that may vary between individual consumers.</w:t>
      </w:r>
    </w:p>
    <w:p w:rsidR="009E3385" w:rsidRPr="000F1882" w:rsidRDefault="009E3385" w:rsidP="00446893"/>
    <w:p w:rsidR="009E3385" w:rsidRPr="000F1882" w:rsidRDefault="009E3385" w:rsidP="00E328F0">
      <w:pPr>
        <w:keepLines/>
        <w:jc w:val="left"/>
      </w:pPr>
      <w:r>
        <w:t>The</w:t>
      </w:r>
      <w:r w:rsidRPr="000F1882">
        <w:t xml:space="preserve"> figure</w:t>
      </w:r>
      <w:r>
        <w:t>s</w:t>
      </w:r>
      <w:r w:rsidRPr="000F1882">
        <w:t xml:space="preserve"> assume that all losses are attributable to gas consumed via local distribution networks. A small amount (&lt;1 per cent) of emissions is attributable to losses occurring from delivery of gas to consumers who are directly connected to a high-pressure transmission pipeline. </w:t>
      </w:r>
      <w:r>
        <w:t>These</w:t>
      </w:r>
      <w:r w:rsidRPr="000F1882">
        <w:t xml:space="preserve"> emission factor</w:t>
      </w:r>
      <w:r>
        <w:t>s</w:t>
      </w:r>
      <w:r w:rsidRPr="000F1882">
        <w:t xml:space="preserve"> </w:t>
      </w:r>
      <w:r>
        <w:t>are</w:t>
      </w:r>
      <w:r w:rsidRPr="000F1882">
        <w:t xml:space="preserve"> therefore appropriate for use by customers who receive their gas through a local distribution network</w:t>
      </w:r>
      <w:r w:rsidR="00570A38">
        <w:t>. They are</w:t>
      </w:r>
      <w:r w:rsidRPr="000F1882">
        <w:t xml:space="preserve"> not intended for customers who receive gas directly from the transmission system, or directly from a gas producer via high-pressure transmission lines.</w:t>
      </w:r>
    </w:p>
    <w:p w:rsidR="00CE570E" w:rsidRDefault="00CE570E" w:rsidP="00E328F0">
      <w:pPr>
        <w:jc w:val="left"/>
      </w:pPr>
    </w:p>
    <w:p w:rsidR="009E3385" w:rsidRDefault="009E3385" w:rsidP="00E328F0">
      <w:pPr>
        <w:jc w:val="left"/>
      </w:pPr>
      <w:r>
        <w:t>These</w:t>
      </w:r>
      <w:r w:rsidRPr="000F1882">
        <w:t xml:space="preserve"> emission factor</w:t>
      </w:r>
      <w:r>
        <w:t>s</w:t>
      </w:r>
      <w:r w:rsidRPr="000F1882">
        <w:t xml:space="preserve"> do not cover the emissions associated with the extraction and production of the</w:t>
      </w:r>
      <w:r w:rsidR="00446893">
        <w:t xml:space="preserve"> </w:t>
      </w:r>
      <w:r w:rsidRPr="000F1882">
        <w:t>gas.</w:t>
      </w:r>
    </w:p>
    <w:p w:rsidR="009E3385" w:rsidRPr="000F1882" w:rsidRDefault="009E3385" w:rsidP="00E328F0">
      <w:pPr>
        <w:pStyle w:val="Heading4"/>
        <w:jc w:val="left"/>
      </w:pPr>
      <w:bookmarkStart w:id="173" w:name="_Toc185407842"/>
      <w:r w:rsidRPr="000F1882">
        <w:lastRenderedPageBreak/>
        <w:t>Example calculation</w:t>
      </w:r>
    </w:p>
    <w:p w:rsidR="009E3385" w:rsidRPr="000F1882" w:rsidRDefault="009E3385" w:rsidP="00E328F0">
      <w:pPr>
        <w:jc w:val="left"/>
      </w:pPr>
      <w:r w:rsidRPr="000F1882">
        <w:t xml:space="preserve">An organisation uses </w:t>
      </w:r>
      <w:r>
        <w:t>800</w:t>
      </w:r>
      <w:r w:rsidRPr="000F1882">
        <w:t xml:space="preserve"> gigajoules of distributed natural gas in </w:t>
      </w:r>
      <w:r w:rsidR="00500958">
        <w:t>201</w:t>
      </w:r>
      <w:r w:rsidR="0040048C">
        <w:t>6</w:t>
      </w:r>
      <w:r w:rsidRPr="000F1882">
        <w:t xml:space="preserve">. </w:t>
      </w:r>
      <w:r w:rsidR="00F204B6">
        <w:t>Its</w:t>
      </w:r>
      <w:r w:rsidR="00F204B6" w:rsidRPr="000F1882">
        <w:t xml:space="preserve"> </w:t>
      </w:r>
      <w:r w:rsidRPr="000F1882">
        <w:t>Scope 3 emissions from transmission and distribution losses are:</w:t>
      </w:r>
    </w:p>
    <w:p w:rsidR="00EC1311" w:rsidRDefault="009E3385" w:rsidP="00E328F0">
      <w:pPr>
        <w:spacing w:before="120"/>
        <w:ind w:left="397"/>
        <w:jc w:val="left"/>
      </w:pPr>
      <w:r w:rsidRPr="000F1882">
        <w:t>Total CO</w:t>
      </w:r>
      <w:r w:rsidRPr="000F1882">
        <w:rPr>
          <w:vertAlign w:val="subscript"/>
        </w:rPr>
        <w:t>2</w:t>
      </w:r>
      <w:r w:rsidRPr="000F1882">
        <w:t xml:space="preserve">-e emissions = </w:t>
      </w:r>
      <w:r>
        <w:t>800</w:t>
      </w:r>
      <w:r w:rsidR="00D863F9">
        <w:t xml:space="preserve"> x</w:t>
      </w:r>
      <w:r w:rsidRPr="000F1882">
        <w:t xml:space="preserve"> </w:t>
      </w:r>
      <w:r w:rsidR="004B3755">
        <w:t>6.36</w:t>
      </w:r>
      <w:r w:rsidRPr="000F1882">
        <w:t xml:space="preserve"> = </w:t>
      </w:r>
      <w:r w:rsidR="0054712A">
        <w:t>5088</w:t>
      </w:r>
      <w:r w:rsidR="00FB7A5C" w:rsidRPr="000F1882">
        <w:t xml:space="preserve"> </w:t>
      </w:r>
      <w:r w:rsidRPr="000F1882">
        <w:t>kg CO</w:t>
      </w:r>
      <w:r w:rsidRPr="000F1882">
        <w:rPr>
          <w:vertAlign w:val="subscript"/>
        </w:rPr>
        <w:t>2</w:t>
      </w:r>
      <w:r w:rsidRPr="000F1882">
        <w:t>-e</w:t>
      </w:r>
    </w:p>
    <w:p w:rsidR="009E3385" w:rsidRPr="000F1882" w:rsidRDefault="009E3385" w:rsidP="00446893"/>
    <w:p w:rsidR="009E3385" w:rsidRPr="000F1882" w:rsidRDefault="009E3385" w:rsidP="00E328F0">
      <w:pPr>
        <w:pStyle w:val="Heading3"/>
        <w:ind w:left="0" w:firstLine="0"/>
      </w:pPr>
      <w:bookmarkStart w:id="174" w:name="_Toc185407848"/>
      <w:bookmarkStart w:id="175" w:name="_Toc185408073"/>
      <w:bookmarkStart w:id="176" w:name="_Toc209932998"/>
      <w:bookmarkStart w:id="177" w:name="_Toc210026935"/>
      <w:bookmarkStart w:id="178" w:name="_Toc289083971"/>
      <w:bookmarkStart w:id="179" w:name="_Toc469577181"/>
      <w:bookmarkEnd w:id="173"/>
      <w:r w:rsidRPr="000F1882">
        <w:t>3.3.4</w:t>
      </w:r>
      <w:r w:rsidRPr="000F1882">
        <w:tab/>
        <w:t>Air travel</w:t>
      </w:r>
      <w:bookmarkEnd w:id="174"/>
      <w:bookmarkEnd w:id="175"/>
      <w:bookmarkEnd w:id="176"/>
      <w:bookmarkEnd w:id="177"/>
      <w:bookmarkEnd w:id="178"/>
      <w:bookmarkEnd w:id="179"/>
    </w:p>
    <w:p w:rsidR="00AA4AAE" w:rsidRDefault="0010190B" w:rsidP="00E328F0">
      <w:pPr>
        <w:tabs>
          <w:tab w:val="left" w:pos="2977"/>
        </w:tabs>
        <w:jc w:val="left"/>
      </w:pPr>
      <w:r>
        <w:t xml:space="preserve">Organisations wishing to report </w:t>
      </w:r>
      <w:r w:rsidR="00EA664A">
        <w:t>their air travel emissions, based on distance travelled per passenger should use t</w:t>
      </w:r>
      <w:r w:rsidR="00A11F6F" w:rsidRPr="00A11F6F">
        <w:t>he International Civil Aviation Organization (</w:t>
      </w:r>
      <w:r w:rsidR="00A11F6F">
        <w:t>ICAO)</w:t>
      </w:r>
      <w:r w:rsidR="00A11F6F" w:rsidRPr="00A11F6F">
        <w:t xml:space="preserve"> </w:t>
      </w:r>
      <w:r w:rsidR="00A11F6F">
        <w:t>calculator</w:t>
      </w:r>
      <w:r w:rsidR="00A44C2F">
        <w:t xml:space="preserve">. </w:t>
      </w:r>
      <w:r w:rsidR="008E49DA">
        <w:t xml:space="preserve">This calculator takes into account </w:t>
      </w:r>
      <w:r>
        <w:t>f</w:t>
      </w:r>
      <w:r w:rsidR="008E49DA">
        <w:t xml:space="preserve">actors such as aircraft types </w:t>
      </w:r>
      <w:r w:rsidR="00AE02CD">
        <w:t>and load factors for specific airline routes.</w:t>
      </w:r>
      <w:r w:rsidR="00AA4AAE">
        <w:t xml:space="preserve"> This calculator is available at: </w:t>
      </w:r>
      <w:hyperlink r:id="rId22" w:history="1">
        <w:r w:rsidR="00AA4AAE" w:rsidRPr="009843F3">
          <w:rPr>
            <w:rStyle w:val="Hyperlink"/>
          </w:rPr>
          <w:t>http://www.icao.int/ENVIRONMENTAL-PROTECTION/CarbonOffset/Pages/default.aspx</w:t>
        </w:r>
      </w:hyperlink>
    </w:p>
    <w:p w:rsidR="00AA4AAE" w:rsidRDefault="00AA4AAE" w:rsidP="00E328F0">
      <w:pPr>
        <w:tabs>
          <w:tab w:val="left" w:pos="2977"/>
        </w:tabs>
        <w:jc w:val="left"/>
      </w:pPr>
      <w:r>
        <w:t xml:space="preserve"> </w:t>
      </w:r>
    </w:p>
    <w:p w:rsidR="00EC1311" w:rsidRDefault="00773DAA" w:rsidP="00E328F0">
      <w:pPr>
        <w:tabs>
          <w:tab w:val="left" w:pos="2977"/>
        </w:tabs>
        <w:jc w:val="left"/>
      </w:pPr>
      <w:r>
        <w:t>If organisations wish to not use the ICAO calculator w</w:t>
      </w:r>
      <w:r w:rsidR="00AE02CD">
        <w:t xml:space="preserve">e recommend that organisation use </w:t>
      </w:r>
      <w:r w:rsidR="00FE4C6D">
        <w:t>t</w:t>
      </w:r>
      <w:r w:rsidR="009E3385" w:rsidRPr="000F1882">
        <w:t xml:space="preserve">he emission factors provided in </w:t>
      </w:r>
      <w:r w:rsidR="00D566C1" w:rsidRPr="000F1882">
        <w:fldChar w:fldCharType="begin"/>
      </w:r>
      <w:r w:rsidR="00D566C1" w:rsidRPr="000F1882">
        <w:instrText xml:space="preserve"> REF _Ref208389311 \h </w:instrText>
      </w:r>
      <w:r w:rsidR="00E328F0">
        <w:instrText xml:space="preserve"> \* MERGEFORMAT </w:instrText>
      </w:r>
      <w:r w:rsidR="00D566C1" w:rsidRPr="000F1882">
        <w:fldChar w:fldCharType="separate"/>
      </w:r>
      <w:r w:rsidR="00AD27F1" w:rsidRPr="000F1882">
        <w:t xml:space="preserve">Table </w:t>
      </w:r>
      <w:r w:rsidR="00AD27F1">
        <w:t>9</w:t>
      </w:r>
      <w:r w:rsidR="00D566C1" w:rsidRPr="000F1882">
        <w:fldChar w:fldCharType="end"/>
      </w:r>
      <w:r w:rsidR="0010190B">
        <w:t>.</w:t>
      </w:r>
      <w:r w:rsidR="009E3385" w:rsidRPr="000F1882">
        <w:t xml:space="preserve"> The emission factors provided follow those published </w:t>
      </w:r>
      <w:r w:rsidR="00E1236B">
        <w:t>online</w:t>
      </w:r>
      <w:r w:rsidR="007B38DE">
        <w:t xml:space="preserve"> </w:t>
      </w:r>
      <w:r w:rsidR="009E3385" w:rsidRPr="000F1882">
        <w:t xml:space="preserve">by the UK Department for </w:t>
      </w:r>
      <w:r w:rsidR="00492836" w:rsidRPr="00492836">
        <w:t>Business, Energy &amp; Industrial Strategy</w:t>
      </w:r>
      <w:r w:rsidR="00492836">
        <w:t xml:space="preserve"> </w:t>
      </w:r>
      <w:r w:rsidR="009E3385" w:rsidRPr="000F1882">
        <w:t xml:space="preserve">in </w:t>
      </w:r>
      <w:r w:rsidR="003B18D1">
        <w:t>its</w:t>
      </w:r>
      <w:r w:rsidR="009E3385" w:rsidRPr="000F1882">
        <w:t xml:space="preserve"> </w:t>
      </w:r>
      <w:r w:rsidR="00C7673F" w:rsidRPr="00BF6138">
        <w:rPr>
          <w:bCs/>
          <w:i/>
          <w:szCs w:val="22"/>
          <w:lang w:eastAsia="en-GB"/>
        </w:rPr>
        <w:t>201</w:t>
      </w:r>
      <w:r w:rsidR="00492836" w:rsidRPr="00BF6138">
        <w:rPr>
          <w:bCs/>
          <w:i/>
          <w:szCs w:val="22"/>
          <w:lang w:eastAsia="en-GB"/>
        </w:rPr>
        <w:t>6</w:t>
      </w:r>
      <w:r w:rsidR="0092645B">
        <w:rPr>
          <w:bCs/>
          <w:szCs w:val="22"/>
          <w:lang w:eastAsia="en-GB"/>
        </w:rPr>
        <w:t xml:space="preserve"> </w:t>
      </w:r>
      <w:r w:rsidR="00294FCD" w:rsidRPr="007B38DE">
        <w:rPr>
          <w:bCs/>
          <w:i/>
          <w:szCs w:val="22"/>
          <w:lang w:eastAsia="en-GB"/>
        </w:rPr>
        <w:t xml:space="preserve">UK Government </w:t>
      </w:r>
      <w:r w:rsidR="007B38DE">
        <w:rPr>
          <w:bCs/>
          <w:i/>
          <w:szCs w:val="22"/>
          <w:lang w:eastAsia="en-GB"/>
        </w:rPr>
        <w:t>C</w:t>
      </w:r>
      <w:r w:rsidR="00294FCD" w:rsidRPr="007B38DE">
        <w:rPr>
          <w:bCs/>
          <w:i/>
          <w:szCs w:val="22"/>
          <w:lang w:eastAsia="en-GB"/>
        </w:rPr>
        <w:t xml:space="preserve">onversion </w:t>
      </w:r>
      <w:r w:rsidR="007B38DE">
        <w:rPr>
          <w:bCs/>
          <w:i/>
          <w:szCs w:val="22"/>
          <w:lang w:eastAsia="en-GB"/>
        </w:rPr>
        <w:t>F</w:t>
      </w:r>
      <w:r w:rsidR="00294FCD" w:rsidRPr="007B38DE">
        <w:rPr>
          <w:bCs/>
          <w:i/>
          <w:szCs w:val="22"/>
          <w:lang w:eastAsia="en-GB"/>
        </w:rPr>
        <w:t>actors for Company Reportin</w:t>
      </w:r>
      <w:r w:rsidR="003F531B">
        <w:rPr>
          <w:bCs/>
          <w:i/>
          <w:szCs w:val="22"/>
          <w:lang w:eastAsia="en-GB"/>
        </w:rPr>
        <w:t>g</w:t>
      </w:r>
      <w:r w:rsidR="00294FCD">
        <w:rPr>
          <w:bCs/>
          <w:szCs w:val="22"/>
          <w:lang w:eastAsia="en-GB"/>
        </w:rPr>
        <w:t>.</w:t>
      </w:r>
      <w:r w:rsidR="009E3385" w:rsidRPr="00F65A56">
        <w:rPr>
          <w:rStyle w:val="FootnoteReference"/>
        </w:rPr>
        <w:footnoteReference w:id="14"/>
      </w:r>
      <w:r w:rsidR="009E3385" w:rsidRPr="00F65A56">
        <w:t xml:space="preserve"> </w:t>
      </w:r>
      <w:r w:rsidR="009E3385" w:rsidRPr="000F1882">
        <w:t xml:space="preserve">These are deemed to be the most suitable emission factors currently available. The </w:t>
      </w:r>
      <w:r w:rsidR="00492836" w:rsidRPr="000F1882">
        <w:t xml:space="preserve">UK Department for </w:t>
      </w:r>
      <w:r w:rsidR="00492836" w:rsidRPr="00492836">
        <w:t>Business, Energy &amp; Industrial Strategy</w:t>
      </w:r>
      <w:r w:rsidR="00492836">
        <w:t>’s</w:t>
      </w:r>
      <w:r w:rsidR="00492836" w:rsidRPr="000F1882" w:rsidDel="00492836">
        <w:t xml:space="preserve"> </w:t>
      </w:r>
      <w:r w:rsidR="009E3385" w:rsidRPr="000F1882">
        <w:t xml:space="preserve">publication discusses the emission factor methodology in more detail, including changes in </w:t>
      </w:r>
      <w:r w:rsidR="009E3385">
        <w:t xml:space="preserve">the </w:t>
      </w:r>
      <w:r w:rsidR="009E3385" w:rsidRPr="000F1882">
        <w:t>methodology over time.</w:t>
      </w:r>
    </w:p>
    <w:p w:rsidR="009E3385" w:rsidRPr="000F1882" w:rsidRDefault="009E3385" w:rsidP="00E328F0">
      <w:pPr>
        <w:jc w:val="left"/>
      </w:pPr>
    </w:p>
    <w:p w:rsidR="009E3385" w:rsidRDefault="009E3385" w:rsidP="00E328F0">
      <w:pPr>
        <w:pStyle w:val="Table"/>
      </w:pPr>
      <w:bookmarkStart w:id="180" w:name="_Ref208389311"/>
      <w:bookmarkStart w:id="181" w:name="_Toc210024154"/>
      <w:bookmarkStart w:id="182" w:name="_Toc289084089"/>
      <w:bookmarkStart w:id="183" w:name="_Toc469577147"/>
      <w:r w:rsidRPr="000F1882">
        <w:t xml:space="preserve">Table </w:t>
      </w:r>
      <w:r w:rsidR="009E0695">
        <w:t>9</w:t>
      </w:r>
      <w:bookmarkEnd w:id="180"/>
      <w:r w:rsidRPr="000F1882">
        <w:t>:</w:t>
      </w:r>
      <w:r w:rsidRPr="000F1882">
        <w:tab/>
        <w:t xml:space="preserve">Emission factors for air travel (based on distance travelled) – </w:t>
      </w:r>
      <w:bookmarkEnd w:id="181"/>
      <w:bookmarkEnd w:id="182"/>
      <w:r w:rsidR="00B1660F">
        <w:t>201</w:t>
      </w:r>
      <w:r w:rsidR="00A40F61">
        <w:t>4</w:t>
      </w:r>
      <w:bookmarkEnd w:id="183"/>
    </w:p>
    <w:tbl>
      <w:tblPr>
        <w:tblW w:w="7953" w:type="dxa"/>
        <w:tblInd w:w="108" w:type="dxa"/>
        <w:tblLook w:val="04A0" w:firstRow="1" w:lastRow="0" w:firstColumn="1" w:lastColumn="0" w:noHBand="0" w:noVBand="1"/>
      </w:tblPr>
      <w:tblGrid>
        <w:gridCol w:w="2977"/>
        <w:gridCol w:w="1985"/>
        <w:gridCol w:w="581"/>
        <w:gridCol w:w="2410"/>
      </w:tblGrid>
      <w:tr w:rsidR="008E7406" w:rsidRPr="00FF3046" w:rsidTr="00C16ADF">
        <w:trPr>
          <w:trHeight w:val="166"/>
        </w:trPr>
        <w:tc>
          <w:tcPr>
            <w:tcW w:w="2977" w:type="dxa"/>
            <w:tcBorders>
              <w:top w:val="nil"/>
              <w:left w:val="nil"/>
              <w:bottom w:val="nil"/>
              <w:right w:val="nil"/>
            </w:tcBorders>
            <w:shd w:val="clear" w:color="auto" w:fill="auto"/>
            <w:noWrap/>
            <w:vAlign w:val="bottom"/>
            <w:hideMark/>
          </w:tcPr>
          <w:p w:rsidR="008E7406" w:rsidRPr="00FF3046" w:rsidRDefault="008E7406" w:rsidP="004E3235">
            <w:pPr>
              <w:spacing w:before="60" w:after="60"/>
              <w:jc w:val="left"/>
              <w:rPr>
                <w:rFonts w:ascii="Arial" w:hAnsi="Arial" w:cs="Arial"/>
                <w:b/>
                <w:bCs/>
                <w:sz w:val="20"/>
                <w:lang w:eastAsia="en-NZ"/>
              </w:rPr>
            </w:pPr>
          </w:p>
        </w:tc>
        <w:tc>
          <w:tcPr>
            <w:tcW w:w="1985" w:type="dxa"/>
            <w:tcBorders>
              <w:top w:val="nil"/>
              <w:left w:val="nil"/>
              <w:bottom w:val="nil"/>
              <w:right w:val="nil"/>
            </w:tcBorders>
            <w:shd w:val="clear" w:color="auto" w:fill="auto"/>
            <w:noWrap/>
            <w:vAlign w:val="bottom"/>
            <w:hideMark/>
          </w:tcPr>
          <w:p w:rsidR="008E7406" w:rsidRPr="00FF3046" w:rsidRDefault="008E7406" w:rsidP="004E3235">
            <w:pPr>
              <w:spacing w:before="60" w:after="60"/>
              <w:jc w:val="left"/>
              <w:rPr>
                <w:rFonts w:ascii="Arial" w:hAnsi="Arial" w:cs="Arial"/>
                <w:b/>
                <w:bCs/>
                <w:sz w:val="20"/>
                <w:lang w:eastAsia="en-NZ"/>
              </w:rPr>
            </w:pPr>
          </w:p>
        </w:tc>
        <w:tc>
          <w:tcPr>
            <w:tcW w:w="581" w:type="dxa"/>
            <w:tcBorders>
              <w:top w:val="nil"/>
              <w:left w:val="nil"/>
              <w:bottom w:val="nil"/>
              <w:right w:val="nil"/>
            </w:tcBorders>
            <w:shd w:val="clear" w:color="auto" w:fill="auto"/>
            <w:noWrap/>
            <w:vAlign w:val="bottom"/>
            <w:hideMark/>
          </w:tcPr>
          <w:p w:rsidR="008E7406" w:rsidRPr="00FF3046" w:rsidRDefault="008E7406" w:rsidP="004E3235">
            <w:pPr>
              <w:spacing w:before="60" w:after="60"/>
              <w:jc w:val="left"/>
              <w:rPr>
                <w:rFonts w:ascii="Arial" w:hAnsi="Arial" w:cs="Arial"/>
                <w:sz w:val="20"/>
                <w:lang w:eastAsia="en-NZ"/>
              </w:rPr>
            </w:pPr>
          </w:p>
        </w:tc>
        <w:tc>
          <w:tcPr>
            <w:tcW w:w="2410" w:type="dxa"/>
            <w:tcBorders>
              <w:top w:val="nil"/>
              <w:left w:val="nil"/>
              <w:bottom w:val="nil"/>
              <w:right w:val="nil"/>
            </w:tcBorders>
            <w:shd w:val="clear" w:color="auto" w:fill="auto"/>
            <w:noWrap/>
            <w:vAlign w:val="bottom"/>
            <w:hideMark/>
          </w:tcPr>
          <w:p w:rsidR="008E7406" w:rsidRPr="00FF3046" w:rsidRDefault="008E7406" w:rsidP="004E3235">
            <w:pPr>
              <w:spacing w:before="60" w:after="60"/>
              <w:jc w:val="left"/>
              <w:rPr>
                <w:rFonts w:ascii="Arial" w:hAnsi="Arial" w:cs="Arial"/>
                <w:sz w:val="20"/>
                <w:lang w:eastAsia="en-NZ"/>
              </w:rPr>
            </w:pPr>
          </w:p>
        </w:tc>
      </w:tr>
      <w:tr w:rsidR="008E7406" w:rsidRPr="00FF3046" w:rsidTr="00C16ADF">
        <w:trPr>
          <w:trHeight w:val="388"/>
        </w:trPr>
        <w:tc>
          <w:tcPr>
            <w:tcW w:w="2977"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bottom"/>
            <w:hideMark/>
          </w:tcPr>
          <w:p w:rsidR="008E7406" w:rsidRPr="00FF3046" w:rsidRDefault="008E7406" w:rsidP="004E3235">
            <w:pPr>
              <w:spacing w:before="60" w:after="60"/>
              <w:jc w:val="left"/>
              <w:rPr>
                <w:rFonts w:ascii="Arial" w:hAnsi="Arial" w:cs="Arial"/>
                <w:b/>
                <w:bCs/>
                <w:sz w:val="16"/>
                <w:szCs w:val="16"/>
                <w:lang w:eastAsia="en-NZ"/>
              </w:rPr>
            </w:pPr>
            <w:r w:rsidRPr="00FF3046">
              <w:rPr>
                <w:rFonts w:ascii="Arial" w:hAnsi="Arial" w:cs="Arial"/>
                <w:b/>
                <w:bCs/>
                <w:sz w:val="16"/>
                <w:szCs w:val="16"/>
                <w:lang w:eastAsia="en-NZ"/>
              </w:rPr>
              <w:t>Emission Source</w:t>
            </w:r>
          </w:p>
        </w:tc>
        <w:tc>
          <w:tcPr>
            <w:tcW w:w="1985" w:type="dxa"/>
            <w:tcBorders>
              <w:top w:val="single" w:sz="8" w:space="0" w:color="auto"/>
              <w:left w:val="nil"/>
              <w:bottom w:val="nil"/>
              <w:right w:val="single" w:sz="8" w:space="0" w:color="auto"/>
            </w:tcBorders>
            <w:shd w:val="clear" w:color="000000" w:fill="D9D9D9"/>
            <w:noWrap/>
            <w:vAlign w:val="bottom"/>
            <w:hideMark/>
          </w:tcPr>
          <w:p w:rsidR="008E7406" w:rsidRPr="00FF3046" w:rsidRDefault="008E7406" w:rsidP="004E3235">
            <w:pPr>
              <w:spacing w:before="60" w:after="60"/>
              <w:jc w:val="left"/>
              <w:rPr>
                <w:rFonts w:ascii="Arial" w:hAnsi="Arial" w:cs="Arial"/>
                <w:b/>
                <w:bCs/>
                <w:sz w:val="16"/>
                <w:szCs w:val="16"/>
                <w:lang w:eastAsia="en-NZ"/>
              </w:rPr>
            </w:pPr>
          </w:p>
        </w:tc>
        <w:tc>
          <w:tcPr>
            <w:tcW w:w="581"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bottom"/>
            <w:hideMark/>
          </w:tcPr>
          <w:p w:rsidR="008E7406" w:rsidRPr="00FF3046" w:rsidRDefault="008E7406" w:rsidP="004E3235">
            <w:pPr>
              <w:spacing w:before="60" w:after="60"/>
              <w:jc w:val="left"/>
              <w:rPr>
                <w:rFonts w:ascii="Arial" w:hAnsi="Arial" w:cs="Arial"/>
                <w:b/>
                <w:bCs/>
                <w:sz w:val="16"/>
                <w:szCs w:val="16"/>
                <w:lang w:eastAsia="en-NZ"/>
              </w:rPr>
            </w:pPr>
            <w:r w:rsidRPr="00FF3046">
              <w:rPr>
                <w:rFonts w:ascii="Arial" w:hAnsi="Arial" w:cs="Arial"/>
                <w:b/>
                <w:bCs/>
                <w:sz w:val="16"/>
                <w:szCs w:val="16"/>
                <w:lang w:eastAsia="en-NZ"/>
              </w:rPr>
              <w:t>Unit</w:t>
            </w:r>
          </w:p>
        </w:tc>
        <w:tc>
          <w:tcPr>
            <w:tcW w:w="2410" w:type="dxa"/>
            <w:tcBorders>
              <w:top w:val="single" w:sz="8" w:space="0" w:color="auto"/>
              <w:left w:val="nil"/>
              <w:bottom w:val="nil"/>
              <w:right w:val="single" w:sz="8" w:space="0" w:color="auto"/>
            </w:tcBorders>
            <w:shd w:val="clear" w:color="000000" w:fill="D9D9D9"/>
            <w:vAlign w:val="bottom"/>
            <w:hideMark/>
          </w:tcPr>
          <w:p w:rsidR="008E7406" w:rsidRPr="00FF3046" w:rsidRDefault="008E7406" w:rsidP="004E3235">
            <w:pPr>
              <w:spacing w:before="60" w:after="60"/>
              <w:jc w:val="left"/>
              <w:rPr>
                <w:rFonts w:ascii="Arial" w:hAnsi="Arial" w:cs="Arial"/>
                <w:b/>
                <w:bCs/>
                <w:sz w:val="16"/>
                <w:szCs w:val="16"/>
                <w:lang w:eastAsia="en-NZ"/>
              </w:rPr>
            </w:pPr>
            <w:r w:rsidRPr="00FF3046">
              <w:rPr>
                <w:rFonts w:ascii="Arial" w:hAnsi="Arial" w:cs="Arial"/>
                <w:b/>
                <w:bCs/>
                <w:sz w:val="16"/>
                <w:szCs w:val="16"/>
                <w:lang w:eastAsia="en-NZ"/>
              </w:rPr>
              <w:t>Emission factor Total CO</w:t>
            </w:r>
            <w:r w:rsidRPr="00FF3046">
              <w:rPr>
                <w:rFonts w:ascii="Arial" w:hAnsi="Arial" w:cs="Arial"/>
                <w:b/>
                <w:bCs/>
                <w:sz w:val="16"/>
                <w:szCs w:val="16"/>
                <w:vertAlign w:val="subscript"/>
                <w:lang w:eastAsia="en-NZ"/>
              </w:rPr>
              <w:t>2</w:t>
            </w:r>
            <w:r w:rsidRPr="00FF3046">
              <w:rPr>
                <w:rFonts w:ascii="Arial" w:hAnsi="Arial" w:cs="Arial"/>
                <w:b/>
                <w:bCs/>
                <w:sz w:val="16"/>
                <w:szCs w:val="16"/>
                <w:lang w:eastAsia="en-NZ"/>
              </w:rPr>
              <w:t>-e</w:t>
            </w:r>
          </w:p>
        </w:tc>
      </w:tr>
      <w:tr w:rsidR="008E7406" w:rsidRPr="00FF3046" w:rsidTr="00C16ADF">
        <w:trPr>
          <w:trHeight w:val="225"/>
        </w:trPr>
        <w:tc>
          <w:tcPr>
            <w:tcW w:w="2977" w:type="dxa"/>
            <w:vMerge/>
            <w:tcBorders>
              <w:top w:val="single" w:sz="8" w:space="0" w:color="auto"/>
              <w:left w:val="single" w:sz="8" w:space="0" w:color="auto"/>
              <w:bottom w:val="single" w:sz="8" w:space="0" w:color="000000"/>
              <w:right w:val="single" w:sz="8" w:space="0" w:color="auto"/>
            </w:tcBorders>
            <w:vAlign w:val="center"/>
            <w:hideMark/>
          </w:tcPr>
          <w:p w:rsidR="008E7406" w:rsidRPr="00FF3046" w:rsidRDefault="008E7406" w:rsidP="004E3235">
            <w:pPr>
              <w:spacing w:before="60" w:after="60"/>
              <w:jc w:val="left"/>
              <w:rPr>
                <w:rFonts w:ascii="Arial" w:hAnsi="Arial" w:cs="Arial"/>
                <w:b/>
                <w:bCs/>
                <w:sz w:val="16"/>
                <w:szCs w:val="16"/>
                <w:lang w:eastAsia="en-NZ"/>
              </w:rPr>
            </w:pPr>
          </w:p>
        </w:tc>
        <w:tc>
          <w:tcPr>
            <w:tcW w:w="1985" w:type="dxa"/>
            <w:tcBorders>
              <w:top w:val="nil"/>
              <w:left w:val="nil"/>
              <w:bottom w:val="single" w:sz="8" w:space="0" w:color="auto"/>
              <w:right w:val="single" w:sz="8" w:space="0" w:color="auto"/>
            </w:tcBorders>
            <w:shd w:val="clear" w:color="000000" w:fill="D9D9D9"/>
            <w:noWrap/>
            <w:vAlign w:val="bottom"/>
            <w:hideMark/>
          </w:tcPr>
          <w:p w:rsidR="008E7406" w:rsidRPr="00FF3046" w:rsidRDefault="008E7406" w:rsidP="004E3235">
            <w:pPr>
              <w:spacing w:before="60" w:after="60"/>
              <w:jc w:val="left"/>
              <w:rPr>
                <w:rFonts w:ascii="Arial" w:hAnsi="Arial" w:cs="Arial"/>
                <w:b/>
                <w:bCs/>
                <w:sz w:val="16"/>
                <w:szCs w:val="16"/>
                <w:lang w:eastAsia="en-NZ"/>
              </w:rPr>
            </w:pPr>
            <w:r w:rsidRPr="00FF3046">
              <w:rPr>
                <w:rFonts w:ascii="Arial" w:hAnsi="Arial" w:cs="Arial"/>
                <w:b/>
                <w:bCs/>
                <w:sz w:val="16"/>
                <w:szCs w:val="16"/>
                <w:lang w:eastAsia="en-NZ"/>
              </w:rPr>
              <w:t>Cabin Class</w:t>
            </w:r>
          </w:p>
        </w:tc>
        <w:tc>
          <w:tcPr>
            <w:tcW w:w="581" w:type="dxa"/>
            <w:vMerge/>
            <w:tcBorders>
              <w:top w:val="single" w:sz="8" w:space="0" w:color="auto"/>
              <w:left w:val="single" w:sz="8" w:space="0" w:color="auto"/>
              <w:bottom w:val="single" w:sz="8" w:space="0" w:color="000000"/>
              <w:right w:val="single" w:sz="8" w:space="0" w:color="auto"/>
            </w:tcBorders>
            <w:vAlign w:val="center"/>
            <w:hideMark/>
          </w:tcPr>
          <w:p w:rsidR="008E7406" w:rsidRPr="00FF3046" w:rsidRDefault="008E7406" w:rsidP="004E3235">
            <w:pPr>
              <w:spacing w:before="60" w:after="60"/>
              <w:jc w:val="left"/>
              <w:rPr>
                <w:rFonts w:ascii="Arial" w:hAnsi="Arial" w:cs="Arial"/>
                <w:b/>
                <w:bCs/>
                <w:sz w:val="16"/>
                <w:szCs w:val="16"/>
                <w:lang w:eastAsia="en-NZ"/>
              </w:rPr>
            </w:pPr>
          </w:p>
        </w:tc>
        <w:tc>
          <w:tcPr>
            <w:tcW w:w="2410" w:type="dxa"/>
            <w:tcBorders>
              <w:top w:val="nil"/>
              <w:left w:val="nil"/>
              <w:bottom w:val="single" w:sz="8" w:space="0" w:color="auto"/>
              <w:right w:val="single" w:sz="8" w:space="0" w:color="auto"/>
            </w:tcBorders>
            <w:shd w:val="clear" w:color="000000" w:fill="D9D9D9"/>
            <w:vAlign w:val="bottom"/>
            <w:hideMark/>
          </w:tcPr>
          <w:p w:rsidR="008E7406" w:rsidRPr="00FF3046" w:rsidRDefault="008E7406" w:rsidP="004E3235">
            <w:pPr>
              <w:spacing w:before="60" w:after="60"/>
              <w:jc w:val="left"/>
              <w:rPr>
                <w:rFonts w:ascii="Arial" w:hAnsi="Arial" w:cs="Arial"/>
                <w:b/>
                <w:bCs/>
                <w:sz w:val="16"/>
                <w:szCs w:val="16"/>
                <w:lang w:eastAsia="en-NZ"/>
              </w:rPr>
            </w:pPr>
            <w:r w:rsidRPr="00FF3046">
              <w:rPr>
                <w:rFonts w:ascii="Arial" w:hAnsi="Arial" w:cs="Arial"/>
                <w:b/>
                <w:bCs/>
                <w:sz w:val="16"/>
                <w:szCs w:val="16"/>
                <w:lang w:eastAsia="en-NZ"/>
              </w:rPr>
              <w:t>(kg CO</w:t>
            </w:r>
            <w:r w:rsidRPr="00FF3046">
              <w:rPr>
                <w:rFonts w:ascii="Arial" w:hAnsi="Arial" w:cs="Arial"/>
                <w:b/>
                <w:bCs/>
                <w:sz w:val="16"/>
                <w:szCs w:val="16"/>
                <w:vertAlign w:val="subscript"/>
                <w:lang w:eastAsia="en-NZ"/>
              </w:rPr>
              <w:t>2</w:t>
            </w:r>
            <w:r w:rsidRPr="00FF3046">
              <w:rPr>
                <w:rFonts w:ascii="Arial" w:hAnsi="Arial" w:cs="Arial"/>
                <w:b/>
                <w:bCs/>
                <w:sz w:val="16"/>
                <w:szCs w:val="16"/>
                <w:lang w:eastAsia="en-NZ"/>
              </w:rPr>
              <w:t>-e/unit)</w:t>
            </w:r>
          </w:p>
        </w:tc>
      </w:tr>
      <w:tr w:rsidR="00926773" w:rsidRPr="00FF3046" w:rsidTr="00C16ADF">
        <w:trPr>
          <w:trHeight w:val="166"/>
        </w:trPr>
        <w:tc>
          <w:tcPr>
            <w:tcW w:w="2977" w:type="dxa"/>
            <w:tcBorders>
              <w:top w:val="nil"/>
              <w:left w:val="single" w:sz="8" w:space="0" w:color="auto"/>
              <w:bottom w:val="single" w:sz="8" w:space="0" w:color="auto"/>
              <w:right w:val="single" w:sz="8" w:space="0" w:color="auto"/>
            </w:tcBorders>
            <w:shd w:val="clear" w:color="auto" w:fill="auto"/>
            <w:noWrap/>
            <w:vAlign w:val="bottom"/>
            <w:hideMark/>
          </w:tcPr>
          <w:p w:rsidR="00926773" w:rsidRPr="008E7406" w:rsidRDefault="00926773" w:rsidP="004E3235">
            <w:pPr>
              <w:spacing w:before="60" w:after="60"/>
              <w:jc w:val="left"/>
              <w:rPr>
                <w:rFonts w:ascii="Arial" w:hAnsi="Arial" w:cs="Arial"/>
                <w:sz w:val="16"/>
                <w:szCs w:val="16"/>
                <w:lang w:eastAsia="en-NZ"/>
              </w:rPr>
            </w:pPr>
            <w:r w:rsidRPr="008E7406">
              <w:rPr>
                <w:rFonts w:ascii="Arial" w:hAnsi="Arial" w:cs="Arial"/>
                <w:sz w:val="16"/>
                <w:szCs w:val="16"/>
                <w:lang w:eastAsia="en-NZ"/>
              </w:rPr>
              <w:t>Domestic</w:t>
            </w:r>
          </w:p>
        </w:tc>
        <w:tc>
          <w:tcPr>
            <w:tcW w:w="1985" w:type="dxa"/>
            <w:tcBorders>
              <w:top w:val="nil"/>
              <w:left w:val="nil"/>
              <w:bottom w:val="single" w:sz="8" w:space="0" w:color="auto"/>
              <w:right w:val="single" w:sz="8" w:space="0" w:color="auto"/>
            </w:tcBorders>
            <w:shd w:val="clear" w:color="auto" w:fill="auto"/>
            <w:noWrap/>
            <w:vAlign w:val="bottom"/>
            <w:hideMark/>
          </w:tcPr>
          <w:p w:rsidR="00926773" w:rsidRPr="008E7406" w:rsidRDefault="00926773" w:rsidP="004E3235">
            <w:pPr>
              <w:spacing w:before="60" w:after="60"/>
              <w:jc w:val="left"/>
              <w:rPr>
                <w:rFonts w:ascii="Arial" w:hAnsi="Arial" w:cs="Arial"/>
                <w:sz w:val="16"/>
                <w:szCs w:val="16"/>
                <w:lang w:eastAsia="en-NZ"/>
              </w:rPr>
            </w:pPr>
            <w:r w:rsidRPr="008E7406">
              <w:rPr>
                <w:rFonts w:ascii="Arial" w:hAnsi="Arial" w:cs="Arial"/>
                <w:sz w:val="16"/>
                <w:szCs w:val="16"/>
                <w:lang w:eastAsia="en-NZ"/>
              </w:rPr>
              <w:t>Average</w:t>
            </w:r>
          </w:p>
        </w:tc>
        <w:tc>
          <w:tcPr>
            <w:tcW w:w="581" w:type="dxa"/>
            <w:tcBorders>
              <w:top w:val="nil"/>
              <w:left w:val="nil"/>
              <w:bottom w:val="single" w:sz="8" w:space="0" w:color="auto"/>
              <w:right w:val="single" w:sz="8" w:space="0" w:color="auto"/>
            </w:tcBorders>
            <w:shd w:val="clear" w:color="auto" w:fill="auto"/>
            <w:noWrap/>
            <w:vAlign w:val="bottom"/>
            <w:hideMark/>
          </w:tcPr>
          <w:p w:rsidR="00926773" w:rsidRPr="008E7406" w:rsidRDefault="00926773" w:rsidP="004E3235">
            <w:pPr>
              <w:spacing w:before="60" w:after="60"/>
              <w:jc w:val="left"/>
              <w:rPr>
                <w:rFonts w:ascii="Arial" w:hAnsi="Arial" w:cs="Arial"/>
                <w:sz w:val="16"/>
                <w:szCs w:val="16"/>
                <w:lang w:eastAsia="en-NZ"/>
              </w:rPr>
            </w:pPr>
            <w:proofErr w:type="spellStart"/>
            <w:r w:rsidRPr="008E7406">
              <w:rPr>
                <w:rFonts w:ascii="Arial" w:hAnsi="Arial" w:cs="Arial"/>
                <w:sz w:val="16"/>
                <w:szCs w:val="16"/>
                <w:lang w:eastAsia="en-NZ"/>
              </w:rPr>
              <w:t>pkm</w:t>
            </w:r>
            <w:proofErr w:type="spellEnd"/>
            <w:r w:rsidRPr="008E7406">
              <w:rPr>
                <w:rFonts w:ascii="Arial" w:hAnsi="Arial" w:cs="Arial"/>
                <w:sz w:val="16"/>
                <w:szCs w:val="16"/>
                <w:lang w:eastAsia="en-NZ"/>
              </w:rPr>
              <w:t>*</w:t>
            </w:r>
          </w:p>
        </w:tc>
        <w:tc>
          <w:tcPr>
            <w:tcW w:w="2410" w:type="dxa"/>
            <w:tcBorders>
              <w:top w:val="nil"/>
              <w:left w:val="nil"/>
              <w:bottom w:val="single" w:sz="8" w:space="0" w:color="auto"/>
              <w:right w:val="single" w:sz="8" w:space="0" w:color="auto"/>
            </w:tcBorders>
            <w:shd w:val="clear" w:color="auto" w:fill="auto"/>
            <w:noWrap/>
            <w:vAlign w:val="bottom"/>
            <w:hideMark/>
          </w:tcPr>
          <w:p w:rsidR="00926773" w:rsidRPr="00FC06DA" w:rsidRDefault="00892778" w:rsidP="004E3235">
            <w:pPr>
              <w:spacing w:before="60" w:after="60"/>
              <w:jc w:val="right"/>
              <w:rPr>
                <w:rFonts w:ascii="Arial" w:hAnsi="Arial" w:cs="Arial"/>
                <w:sz w:val="16"/>
                <w:szCs w:val="16"/>
                <w:lang w:eastAsia="en-NZ"/>
              </w:rPr>
            </w:pPr>
            <w:r w:rsidRPr="004E3235">
              <w:rPr>
                <w:rFonts w:ascii="Arial" w:hAnsi="Arial" w:cs="Arial"/>
                <w:sz w:val="16"/>
                <w:szCs w:val="16"/>
                <w:lang w:eastAsia="en-NZ"/>
              </w:rPr>
              <w:t>0.147</w:t>
            </w:r>
            <w:r w:rsidR="00926773" w:rsidRPr="004E3235">
              <w:rPr>
                <w:rFonts w:ascii="Arial" w:hAnsi="Arial" w:cs="Arial"/>
                <w:sz w:val="16"/>
                <w:szCs w:val="16"/>
                <w:lang w:eastAsia="en-NZ"/>
              </w:rPr>
              <w:t xml:space="preserve"> </w:t>
            </w:r>
          </w:p>
        </w:tc>
      </w:tr>
      <w:tr w:rsidR="00926773" w:rsidRPr="00FF3046" w:rsidTr="00C16ADF">
        <w:trPr>
          <w:trHeight w:val="166"/>
        </w:trPr>
        <w:tc>
          <w:tcPr>
            <w:tcW w:w="2977" w:type="dxa"/>
            <w:tcBorders>
              <w:top w:val="nil"/>
              <w:left w:val="single" w:sz="8" w:space="0" w:color="auto"/>
              <w:bottom w:val="single" w:sz="8" w:space="0" w:color="auto"/>
              <w:right w:val="single" w:sz="8" w:space="0" w:color="auto"/>
            </w:tcBorders>
            <w:shd w:val="clear" w:color="auto" w:fill="auto"/>
            <w:noWrap/>
            <w:vAlign w:val="bottom"/>
            <w:hideMark/>
          </w:tcPr>
          <w:p w:rsidR="00926773" w:rsidRPr="008E7406" w:rsidRDefault="00926773" w:rsidP="004E3235">
            <w:pPr>
              <w:spacing w:before="60" w:after="60"/>
              <w:jc w:val="left"/>
              <w:rPr>
                <w:rFonts w:ascii="Arial" w:hAnsi="Arial" w:cs="Arial"/>
                <w:sz w:val="16"/>
                <w:szCs w:val="16"/>
                <w:lang w:eastAsia="en-NZ"/>
              </w:rPr>
            </w:pPr>
            <w:r w:rsidRPr="008E7406">
              <w:rPr>
                <w:rFonts w:ascii="Arial" w:hAnsi="Arial" w:cs="Arial"/>
                <w:sz w:val="16"/>
                <w:szCs w:val="16"/>
                <w:lang w:eastAsia="en-NZ"/>
              </w:rPr>
              <w:t>Short Haul International (&lt;3700 km)</w:t>
            </w:r>
          </w:p>
        </w:tc>
        <w:tc>
          <w:tcPr>
            <w:tcW w:w="1985" w:type="dxa"/>
            <w:tcBorders>
              <w:top w:val="nil"/>
              <w:left w:val="nil"/>
              <w:bottom w:val="single" w:sz="8" w:space="0" w:color="auto"/>
              <w:right w:val="single" w:sz="8" w:space="0" w:color="auto"/>
            </w:tcBorders>
            <w:shd w:val="clear" w:color="auto" w:fill="auto"/>
            <w:noWrap/>
            <w:vAlign w:val="bottom"/>
            <w:hideMark/>
          </w:tcPr>
          <w:p w:rsidR="00926773" w:rsidRPr="008E7406" w:rsidRDefault="00926773" w:rsidP="004E3235">
            <w:pPr>
              <w:spacing w:before="60" w:after="60"/>
              <w:jc w:val="left"/>
              <w:rPr>
                <w:rFonts w:ascii="Arial" w:hAnsi="Arial" w:cs="Arial"/>
                <w:sz w:val="16"/>
                <w:szCs w:val="16"/>
                <w:lang w:eastAsia="en-NZ"/>
              </w:rPr>
            </w:pPr>
            <w:r w:rsidRPr="008E7406">
              <w:rPr>
                <w:rFonts w:ascii="Arial" w:hAnsi="Arial" w:cs="Arial"/>
                <w:sz w:val="16"/>
                <w:szCs w:val="16"/>
                <w:lang w:eastAsia="en-NZ"/>
              </w:rPr>
              <w:t>Average</w:t>
            </w:r>
          </w:p>
        </w:tc>
        <w:tc>
          <w:tcPr>
            <w:tcW w:w="581" w:type="dxa"/>
            <w:tcBorders>
              <w:top w:val="nil"/>
              <w:left w:val="nil"/>
              <w:bottom w:val="single" w:sz="8" w:space="0" w:color="auto"/>
              <w:right w:val="single" w:sz="8" w:space="0" w:color="auto"/>
            </w:tcBorders>
            <w:shd w:val="clear" w:color="auto" w:fill="auto"/>
            <w:noWrap/>
            <w:vAlign w:val="bottom"/>
            <w:hideMark/>
          </w:tcPr>
          <w:p w:rsidR="00926773" w:rsidRPr="008E7406" w:rsidRDefault="00926773" w:rsidP="004E3235">
            <w:pPr>
              <w:spacing w:before="60" w:after="60"/>
              <w:jc w:val="left"/>
              <w:rPr>
                <w:rFonts w:ascii="Arial" w:hAnsi="Arial" w:cs="Arial"/>
                <w:sz w:val="16"/>
                <w:szCs w:val="16"/>
                <w:lang w:eastAsia="en-NZ"/>
              </w:rPr>
            </w:pPr>
            <w:proofErr w:type="spellStart"/>
            <w:r w:rsidRPr="008E7406">
              <w:rPr>
                <w:rFonts w:ascii="Arial" w:hAnsi="Arial" w:cs="Arial"/>
                <w:sz w:val="16"/>
                <w:szCs w:val="16"/>
                <w:lang w:eastAsia="en-NZ"/>
              </w:rPr>
              <w:t>pkm</w:t>
            </w:r>
            <w:proofErr w:type="spellEnd"/>
          </w:p>
        </w:tc>
        <w:tc>
          <w:tcPr>
            <w:tcW w:w="2410" w:type="dxa"/>
            <w:tcBorders>
              <w:top w:val="nil"/>
              <w:left w:val="nil"/>
              <w:bottom w:val="single" w:sz="8" w:space="0" w:color="auto"/>
              <w:right w:val="single" w:sz="8" w:space="0" w:color="auto"/>
            </w:tcBorders>
            <w:shd w:val="clear" w:color="auto" w:fill="auto"/>
            <w:noWrap/>
            <w:vAlign w:val="bottom"/>
            <w:hideMark/>
          </w:tcPr>
          <w:p w:rsidR="00926773" w:rsidRPr="00FC06DA" w:rsidRDefault="00892778" w:rsidP="004E3235">
            <w:pPr>
              <w:spacing w:before="60" w:after="60"/>
              <w:jc w:val="right"/>
              <w:rPr>
                <w:rFonts w:ascii="Arial" w:hAnsi="Arial" w:cs="Arial"/>
                <w:sz w:val="16"/>
                <w:szCs w:val="16"/>
                <w:lang w:eastAsia="en-NZ"/>
              </w:rPr>
            </w:pPr>
            <w:r w:rsidRPr="004E3235">
              <w:rPr>
                <w:rFonts w:ascii="Arial" w:hAnsi="Arial" w:cs="Arial"/>
                <w:sz w:val="16"/>
                <w:szCs w:val="16"/>
                <w:lang w:eastAsia="en-NZ"/>
              </w:rPr>
              <w:t>0.0891</w:t>
            </w:r>
            <w:r w:rsidR="00926773" w:rsidRPr="004E3235">
              <w:rPr>
                <w:rFonts w:ascii="Arial" w:hAnsi="Arial" w:cs="Arial"/>
                <w:sz w:val="16"/>
                <w:szCs w:val="16"/>
                <w:lang w:eastAsia="en-NZ"/>
              </w:rPr>
              <w:t xml:space="preserve"> </w:t>
            </w:r>
          </w:p>
        </w:tc>
      </w:tr>
      <w:tr w:rsidR="00926773" w:rsidRPr="00FF3046" w:rsidTr="00C16ADF">
        <w:trPr>
          <w:trHeight w:val="166"/>
        </w:trPr>
        <w:tc>
          <w:tcPr>
            <w:tcW w:w="2977" w:type="dxa"/>
            <w:tcBorders>
              <w:top w:val="nil"/>
              <w:left w:val="single" w:sz="8" w:space="0" w:color="auto"/>
              <w:bottom w:val="single" w:sz="8" w:space="0" w:color="auto"/>
              <w:right w:val="single" w:sz="8" w:space="0" w:color="auto"/>
            </w:tcBorders>
            <w:shd w:val="clear" w:color="auto" w:fill="auto"/>
            <w:noWrap/>
            <w:vAlign w:val="bottom"/>
            <w:hideMark/>
          </w:tcPr>
          <w:p w:rsidR="00926773" w:rsidRPr="008E7406" w:rsidRDefault="00926773" w:rsidP="004E3235">
            <w:pPr>
              <w:spacing w:before="60" w:after="60"/>
              <w:jc w:val="left"/>
              <w:rPr>
                <w:rFonts w:ascii="Arial" w:hAnsi="Arial" w:cs="Arial"/>
                <w:sz w:val="16"/>
                <w:szCs w:val="16"/>
                <w:lang w:eastAsia="en-NZ"/>
              </w:rPr>
            </w:pPr>
            <w:r w:rsidRPr="008E7406">
              <w:rPr>
                <w:rFonts w:ascii="Arial" w:hAnsi="Arial" w:cs="Arial"/>
                <w:sz w:val="16"/>
                <w:szCs w:val="16"/>
                <w:lang w:eastAsia="en-NZ"/>
              </w:rPr>
              <w:t> </w:t>
            </w:r>
          </w:p>
        </w:tc>
        <w:tc>
          <w:tcPr>
            <w:tcW w:w="1985" w:type="dxa"/>
            <w:tcBorders>
              <w:top w:val="nil"/>
              <w:left w:val="nil"/>
              <w:bottom w:val="single" w:sz="8" w:space="0" w:color="auto"/>
              <w:right w:val="single" w:sz="8" w:space="0" w:color="auto"/>
            </w:tcBorders>
            <w:shd w:val="clear" w:color="auto" w:fill="auto"/>
            <w:noWrap/>
            <w:vAlign w:val="bottom"/>
            <w:hideMark/>
          </w:tcPr>
          <w:p w:rsidR="00926773" w:rsidRPr="008E7406" w:rsidRDefault="00926773" w:rsidP="004E3235">
            <w:pPr>
              <w:spacing w:before="60" w:after="60"/>
              <w:jc w:val="left"/>
              <w:rPr>
                <w:rFonts w:ascii="Arial" w:hAnsi="Arial" w:cs="Arial"/>
                <w:sz w:val="16"/>
                <w:szCs w:val="16"/>
                <w:lang w:eastAsia="en-NZ"/>
              </w:rPr>
            </w:pPr>
            <w:r w:rsidRPr="008E7406">
              <w:rPr>
                <w:rFonts w:ascii="Arial" w:hAnsi="Arial" w:cs="Arial"/>
                <w:sz w:val="16"/>
                <w:szCs w:val="16"/>
                <w:lang w:eastAsia="en-NZ"/>
              </w:rPr>
              <w:t>Economy class</w:t>
            </w:r>
          </w:p>
        </w:tc>
        <w:tc>
          <w:tcPr>
            <w:tcW w:w="581" w:type="dxa"/>
            <w:tcBorders>
              <w:top w:val="nil"/>
              <w:left w:val="nil"/>
              <w:bottom w:val="single" w:sz="8" w:space="0" w:color="auto"/>
              <w:right w:val="single" w:sz="8" w:space="0" w:color="auto"/>
            </w:tcBorders>
            <w:shd w:val="clear" w:color="auto" w:fill="auto"/>
            <w:noWrap/>
            <w:vAlign w:val="bottom"/>
            <w:hideMark/>
          </w:tcPr>
          <w:p w:rsidR="00926773" w:rsidRPr="008E7406" w:rsidRDefault="00926773" w:rsidP="004E3235">
            <w:pPr>
              <w:spacing w:before="60" w:after="60"/>
              <w:jc w:val="left"/>
              <w:rPr>
                <w:rFonts w:ascii="Arial" w:hAnsi="Arial" w:cs="Arial"/>
                <w:sz w:val="16"/>
                <w:szCs w:val="16"/>
                <w:lang w:eastAsia="en-NZ"/>
              </w:rPr>
            </w:pPr>
            <w:proofErr w:type="spellStart"/>
            <w:r w:rsidRPr="008E7406">
              <w:rPr>
                <w:rFonts w:ascii="Arial" w:hAnsi="Arial" w:cs="Arial"/>
                <w:sz w:val="16"/>
                <w:szCs w:val="16"/>
                <w:lang w:eastAsia="en-NZ"/>
              </w:rPr>
              <w:t>pkm</w:t>
            </w:r>
            <w:proofErr w:type="spellEnd"/>
          </w:p>
        </w:tc>
        <w:tc>
          <w:tcPr>
            <w:tcW w:w="2410" w:type="dxa"/>
            <w:tcBorders>
              <w:top w:val="nil"/>
              <w:left w:val="nil"/>
              <w:bottom w:val="single" w:sz="8" w:space="0" w:color="auto"/>
              <w:right w:val="single" w:sz="8" w:space="0" w:color="auto"/>
            </w:tcBorders>
            <w:shd w:val="clear" w:color="auto" w:fill="auto"/>
            <w:noWrap/>
            <w:vAlign w:val="bottom"/>
            <w:hideMark/>
          </w:tcPr>
          <w:p w:rsidR="00926773" w:rsidRPr="00FC06DA" w:rsidRDefault="00892778" w:rsidP="004E3235">
            <w:pPr>
              <w:spacing w:before="60" w:after="60"/>
              <w:jc w:val="right"/>
              <w:rPr>
                <w:rFonts w:ascii="Arial" w:hAnsi="Arial" w:cs="Arial"/>
                <w:sz w:val="16"/>
                <w:szCs w:val="16"/>
                <w:lang w:eastAsia="en-NZ"/>
              </w:rPr>
            </w:pPr>
            <w:r w:rsidRPr="004E3235">
              <w:rPr>
                <w:rFonts w:ascii="Arial" w:hAnsi="Arial" w:cs="Arial"/>
                <w:sz w:val="16"/>
                <w:szCs w:val="16"/>
                <w:lang w:eastAsia="en-NZ"/>
              </w:rPr>
              <w:t>0.0873</w:t>
            </w:r>
            <w:r w:rsidR="00926773" w:rsidRPr="004E3235">
              <w:rPr>
                <w:rFonts w:ascii="Arial" w:hAnsi="Arial" w:cs="Arial"/>
                <w:sz w:val="16"/>
                <w:szCs w:val="16"/>
                <w:lang w:eastAsia="en-NZ"/>
              </w:rPr>
              <w:t xml:space="preserve"> </w:t>
            </w:r>
          </w:p>
        </w:tc>
      </w:tr>
      <w:tr w:rsidR="00926773" w:rsidRPr="00FF3046" w:rsidTr="00C16ADF">
        <w:trPr>
          <w:trHeight w:val="166"/>
        </w:trPr>
        <w:tc>
          <w:tcPr>
            <w:tcW w:w="2977" w:type="dxa"/>
            <w:tcBorders>
              <w:top w:val="nil"/>
              <w:left w:val="single" w:sz="8" w:space="0" w:color="auto"/>
              <w:bottom w:val="single" w:sz="8" w:space="0" w:color="auto"/>
              <w:right w:val="single" w:sz="8" w:space="0" w:color="auto"/>
            </w:tcBorders>
            <w:shd w:val="clear" w:color="auto" w:fill="auto"/>
            <w:noWrap/>
            <w:vAlign w:val="bottom"/>
            <w:hideMark/>
          </w:tcPr>
          <w:p w:rsidR="00926773" w:rsidRPr="008E7406" w:rsidRDefault="00926773" w:rsidP="004E3235">
            <w:pPr>
              <w:spacing w:before="60" w:after="60"/>
              <w:jc w:val="left"/>
              <w:rPr>
                <w:rFonts w:ascii="Arial" w:hAnsi="Arial" w:cs="Arial"/>
                <w:sz w:val="16"/>
                <w:szCs w:val="16"/>
                <w:lang w:eastAsia="en-NZ"/>
              </w:rPr>
            </w:pPr>
            <w:r w:rsidRPr="008E7406">
              <w:rPr>
                <w:rFonts w:ascii="Arial" w:hAnsi="Arial" w:cs="Arial"/>
                <w:sz w:val="16"/>
                <w:szCs w:val="16"/>
                <w:lang w:eastAsia="en-NZ"/>
              </w:rPr>
              <w:t> </w:t>
            </w:r>
          </w:p>
        </w:tc>
        <w:tc>
          <w:tcPr>
            <w:tcW w:w="1985" w:type="dxa"/>
            <w:tcBorders>
              <w:top w:val="nil"/>
              <w:left w:val="nil"/>
              <w:bottom w:val="single" w:sz="8" w:space="0" w:color="auto"/>
              <w:right w:val="single" w:sz="8" w:space="0" w:color="auto"/>
            </w:tcBorders>
            <w:shd w:val="clear" w:color="auto" w:fill="auto"/>
            <w:noWrap/>
            <w:vAlign w:val="bottom"/>
            <w:hideMark/>
          </w:tcPr>
          <w:p w:rsidR="00926773" w:rsidRPr="008E7406" w:rsidRDefault="00926773" w:rsidP="004E3235">
            <w:pPr>
              <w:spacing w:before="60" w:after="60"/>
              <w:jc w:val="left"/>
              <w:rPr>
                <w:rFonts w:ascii="Arial" w:hAnsi="Arial" w:cs="Arial"/>
                <w:sz w:val="16"/>
                <w:szCs w:val="16"/>
                <w:lang w:eastAsia="en-NZ"/>
              </w:rPr>
            </w:pPr>
            <w:r w:rsidRPr="008E7406">
              <w:rPr>
                <w:rFonts w:ascii="Arial" w:hAnsi="Arial" w:cs="Arial"/>
                <w:sz w:val="16"/>
                <w:szCs w:val="16"/>
                <w:lang w:eastAsia="en-NZ"/>
              </w:rPr>
              <w:t>Business class</w:t>
            </w:r>
          </w:p>
        </w:tc>
        <w:tc>
          <w:tcPr>
            <w:tcW w:w="581" w:type="dxa"/>
            <w:tcBorders>
              <w:top w:val="nil"/>
              <w:left w:val="nil"/>
              <w:bottom w:val="single" w:sz="8" w:space="0" w:color="auto"/>
              <w:right w:val="single" w:sz="8" w:space="0" w:color="auto"/>
            </w:tcBorders>
            <w:shd w:val="clear" w:color="auto" w:fill="auto"/>
            <w:noWrap/>
            <w:vAlign w:val="bottom"/>
            <w:hideMark/>
          </w:tcPr>
          <w:p w:rsidR="00926773" w:rsidRPr="008E7406" w:rsidRDefault="00926773" w:rsidP="004E3235">
            <w:pPr>
              <w:spacing w:before="60" w:after="60"/>
              <w:jc w:val="left"/>
              <w:rPr>
                <w:rFonts w:ascii="Arial" w:hAnsi="Arial" w:cs="Arial"/>
                <w:sz w:val="16"/>
                <w:szCs w:val="16"/>
                <w:lang w:eastAsia="en-NZ"/>
              </w:rPr>
            </w:pPr>
            <w:proofErr w:type="spellStart"/>
            <w:r w:rsidRPr="008E7406">
              <w:rPr>
                <w:rFonts w:ascii="Arial" w:hAnsi="Arial" w:cs="Arial"/>
                <w:sz w:val="16"/>
                <w:szCs w:val="16"/>
                <w:lang w:eastAsia="en-NZ"/>
              </w:rPr>
              <w:t>pkm</w:t>
            </w:r>
            <w:proofErr w:type="spellEnd"/>
          </w:p>
        </w:tc>
        <w:tc>
          <w:tcPr>
            <w:tcW w:w="2410" w:type="dxa"/>
            <w:tcBorders>
              <w:top w:val="nil"/>
              <w:left w:val="nil"/>
              <w:bottom w:val="single" w:sz="8" w:space="0" w:color="auto"/>
              <w:right w:val="single" w:sz="8" w:space="0" w:color="auto"/>
            </w:tcBorders>
            <w:shd w:val="clear" w:color="auto" w:fill="auto"/>
            <w:noWrap/>
            <w:vAlign w:val="bottom"/>
            <w:hideMark/>
          </w:tcPr>
          <w:p w:rsidR="00926773" w:rsidRPr="00FC06DA" w:rsidRDefault="00892778" w:rsidP="004E3235">
            <w:pPr>
              <w:spacing w:before="60" w:after="60"/>
              <w:jc w:val="right"/>
              <w:rPr>
                <w:rFonts w:ascii="Arial" w:hAnsi="Arial" w:cs="Arial"/>
                <w:sz w:val="16"/>
                <w:szCs w:val="16"/>
                <w:lang w:eastAsia="en-NZ"/>
              </w:rPr>
            </w:pPr>
            <w:r w:rsidRPr="004E3235">
              <w:rPr>
                <w:rFonts w:ascii="Arial" w:hAnsi="Arial" w:cs="Arial"/>
                <w:sz w:val="16"/>
                <w:szCs w:val="16"/>
                <w:lang w:eastAsia="en-NZ"/>
              </w:rPr>
              <w:t>0.131</w:t>
            </w:r>
            <w:r w:rsidR="00926773" w:rsidRPr="004E3235">
              <w:rPr>
                <w:rFonts w:ascii="Arial" w:hAnsi="Arial" w:cs="Arial"/>
                <w:sz w:val="16"/>
                <w:szCs w:val="16"/>
                <w:lang w:eastAsia="en-NZ"/>
              </w:rPr>
              <w:t xml:space="preserve"> </w:t>
            </w:r>
          </w:p>
        </w:tc>
      </w:tr>
      <w:tr w:rsidR="00926773" w:rsidRPr="00FF3046" w:rsidTr="00C16ADF">
        <w:trPr>
          <w:trHeight w:val="166"/>
        </w:trPr>
        <w:tc>
          <w:tcPr>
            <w:tcW w:w="2977" w:type="dxa"/>
            <w:tcBorders>
              <w:top w:val="nil"/>
              <w:left w:val="single" w:sz="8" w:space="0" w:color="auto"/>
              <w:bottom w:val="single" w:sz="8" w:space="0" w:color="auto"/>
              <w:right w:val="single" w:sz="8" w:space="0" w:color="auto"/>
            </w:tcBorders>
            <w:shd w:val="clear" w:color="auto" w:fill="auto"/>
            <w:noWrap/>
            <w:vAlign w:val="bottom"/>
            <w:hideMark/>
          </w:tcPr>
          <w:p w:rsidR="00926773" w:rsidRPr="008E7406" w:rsidRDefault="00926773" w:rsidP="004E3235">
            <w:pPr>
              <w:spacing w:before="60" w:after="60"/>
              <w:jc w:val="left"/>
              <w:rPr>
                <w:rFonts w:ascii="Arial" w:hAnsi="Arial" w:cs="Arial"/>
                <w:sz w:val="16"/>
                <w:szCs w:val="16"/>
                <w:lang w:eastAsia="en-NZ"/>
              </w:rPr>
            </w:pPr>
            <w:r w:rsidRPr="008E7406">
              <w:rPr>
                <w:rFonts w:ascii="Arial" w:hAnsi="Arial" w:cs="Arial"/>
                <w:sz w:val="16"/>
                <w:szCs w:val="16"/>
                <w:lang w:eastAsia="en-NZ"/>
              </w:rPr>
              <w:t>Long Haul International (&gt;3700 km)</w:t>
            </w:r>
          </w:p>
        </w:tc>
        <w:tc>
          <w:tcPr>
            <w:tcW w:w="1985" w:type="dxa"/>
            <w:tcBorders>
              <w:top w:val="nil"/>
              <w:left w:val="nil"/>
              <w:bottom w:val="single" w:sz="8" w:space="0" w:color="auto"/>
              <w:right w:val="single" w:sz="8" w:space="0" w:color="auto"/>
            </w:tcBorders>
            <w:shd w:val="clear" w:color="auto" w:fill="auto"/>
            <w:noWrap/>
            <w:vAlign w:val="bottom"/>
            <w:hideMark/>
          </w:tcPr>
          <w:p w:rsidR="00926773" w:rsidRPr="008E7406" w:rsidRDefault="00926773" w:rsidP="004E3235">
            <w:pPr>
              <w:spacing w:before="60" w:after="60"/>
              <w:jc w:val="left"/>
              <w:rPr>
                <w:rFonts w:ascii="Arial" w:hAnsi="Arial" w:cs="Arial"/>
                <w:sz w:val="16"/>
                <w:szCs w:val="16"/>
                <w:lang w:eastAsia="en-NZ"/>
              </w:rPr>
            </w:pPr>
            <w:r w:rsidRPr="008E7406">
              <w:rPr>
                <w:rFonts w:ascii="Arial" w:hAnsi="Arial" w:cs="Arial"/>
                <w:sz w:val="16"/>
                <w:szCs w:val="16"/>
                <w:lang w:eastAsia="en-NZ"/>
              </w:rPr>
              <w:t>Average</w:t>
            </w:r>
          </w:p>
        </w:tc>
        <w:tc>
          <w:tcPr>
            <w:tcW w:w="581" w:type="dxa"/>
            <w:tcBorders>
              <w:top w:val="nil"/>
              <w:left w:val="nil"/>
              <w:bottom w:val="single" w:sz="8" w:space="0" w:color="auto"/>
              <w:right w:val="single" w:sz="8" w:space="0" w:color="auto"/>
            </w:tcBorders>
            <w:shd w:val="clear" w:color="auto" w:fill="auto"/>
            <w:noWrap/>
            <w:vAlign w:val="bottom"/>
            <w:hideMark/>
          </w:tcPr>
          <w:p w:rsidR="00926773" w:rsidRPr="008E7406" w:rsidRDefault="00926773" w:rsidP="004E3235">
            <w:pPr>
              <w:spacing w:before="60" w:after="60"/>
              <w:jc w:val="left"/>
              <w:rPr>
                <w:rFonts w:ascii="Arial" w:hAnsi="Arial" w:cs="Arial"/>
                <w:sz w:val="16"/>
                <w:szCs w:val="16"/>
                <w:lang w:eastAsia="en-NZ"/>
              </w:rPr>
            </w:pPr>
            <w:proofErr w:type="spellStart"/>
            <w:r w:rsidRPr="008E7406">
              <w:rPr>
                <w:rFonts w:ascii="Arial" w:hAnsi="Arial" w:cs="Arial"/>
                <w:sz w:val="16"/>
                <w:szCs w:val="16"/>
                <w:lang w:eastAsia="en-NZ"/>
              </w:rPr>
              <w:t>pkm</w:t>
            </w:r>
            <w:proofErr w:type="spellEnd"/>
          </w:p>
        </w:tc>
        <w:tc>
          <w:tcPr>
            <w:tcW w:w="2410" w:type="dxa"/>
            <w:tcBorders>
              <w:top w:val="nil"/>
              <w:left w:val="nil"/>
              <w:bottom w:val="single" w:sz="8" w:space="0" w:color="auto"/>
              <w:right w:val="single" w:sz="8" w:space="0" w:color="auto"/>
            </w:tcBorders>
            <w:shd w:val="clear" w:color="auto" w:fill="auto"/>
            <w:noWrap/>
            <w:vAlign w:val="bottom"/>
            <w:hideMark/>
          </w:tcPr>
          <w:p w:rsidR="00926773" w:rsidRPr="00FC06DA" w:rsidRDefault="00296DE0" w:rsidP="004E3235">
            <w:pPr>
              <w:spacing w:before="60" w:after="60"/>
              <w:jc w:val="right"/>
              <w:rPr>
                <w:rFonts w:ascii="Arial" w:hAnsi="Arial" w:cs="Arial"/>
                <w:sz w:val="16"/>
                <w:szCs w:val="16"/>
                <w:lang w:eastAsia="en-NZ"/>
              </w:rPr>
            </w:pPr>
            <w:r w:rsidRPr="004E3235">
              <w:rPr>
                <w:rFonts w:ascii="Arial" w:hAnsi="Arial" w:cs="Arial"/>
                <w:sz w:val="16"/>
                <w:szCs w:val="16"/>
                <w:lang w:eastAsia="en-NZ"/>
              </w:rPr>
              <w:t>0.0946</w:t>
            </w:r>
            <w:r w:rsidR="00926773" w:rsidRPr="004E3235">
              <w:rPr>
                <w:rFonts w:ascii="Arial" w:hAnsi="Arial" w:cs="Arial"/>
                <w:sz w:val="16"/>
                <w:szCs w:val="16"/>
                <w:lang w:eastAsia="en-NZ"/>
              </w:rPr>
              <w:t xml:space="preserve"> </w:t>
            </w:r>
          </w:p>
        </w:tc>
      </w:tr>
      <w:tr w:rsidR="00926773" w:rsidRPr="00FF3046" w:rsidTr="00C16ADF">
        <w:trPr>
          <w:trHeight w:val="166"/>
        </w:trPr>
        <w:tc>
          <w:tcPr>
            <w:tcW w:w="2977" w:type="dxa"/>
            <w:tcBorders>
              <w:top w:val="nil"/>
              <w:left w:val="single" w:sz="8" w:space="0" w:color="auto"/>
              <w:bottom w:val="single" w:sz="8" w:space="0" w:color="auto"/>
              <w:right w:val="single" w:sz="8" w:space="0" w:color="auto"/>
            </w:tcBorders>
            <w:shd w:val="clear" w:color="auto" w:fill="auto"/>
            <w:noWrap/>
            <w:vAlign w:val="bottom"/>
            <w:hideMark/>
          </w:tcPr>
          <w:p w:rsidR="00926773" w:rsidRPr="008E7406" w:rsidRDefault="00926773" w:rsidP="004E3235">
            <w:pPr>
              <w:spacing w:before="60" w:after="60"/>
              <w:jc w:val="left"/>
              <w:rPr>
                <w:rFonts w:ascii="Arial" w:hAnsi="Arial" w:cs="Arial"/>
                <w:sz w:val="16"/>
                <w:szCs w:val="16"/>
                <w:lang w:eastAsia="en-NZ"/>
              </w:rPr>
            </w:pPr>
            <w:r w:rsidRPr="008E7406">
              <w:rPr>
                <w:rFonts w:ascii="Arial" w:hAnsi="Arial" w:cs="Arial"/>
                <w:sz w:val="16"/>
                <w:szCs w:val="16"/>
                <w:lang w:eastAsia="en-NZ"/>
              </w:rPr>
              <w:t> </w:t>
            </w:r>
          </w:p>
        </w:tc>
        <w:tc>
          <w:tcPr>
            <w:tcW w:w="1985" w:type="dxa"/>
            <w:tcBorders>
              <w:top w:val="nil"/>
              <w:left w:val="nil"/>
              <w:bottom w:val="single" w:sz="8" w:space="0" w:color="auto"/>
              <w:right w:val="single" w:sz="8" w:space="0" w:color="auto"/>
            </w:tcBorders>
            <w:shd w:val="clear" w:color="auto" w:fill="auto"/>
            <w:noWrap/>
            <w:vAlign w:val="bottom"/>
            <w:hideMark/>
          </w:tcPr>
          <w:p w:rsidR="00926773" w:rsidRPr="008E7406" w:rsidRDefault="00926773" w:rsidP="004E3235">
            <w:pPr>
              <w:spacing w:before="60" w:after="60"/>
              <w:jc w:val="left"/>
              <w:rPr>
                <w:rFonts w:ascii="Arial" w:hAnsi="Arial" w:cs="Arial"/>
                <w:sz w:val="16"/>
                <w:szCs w:val="16"/>
                <w:lang w:eastAsia="en-NZ"/>
              </w:rPr>
            </w:pPr>
            <w:r w:rsidRPr="008E7406">
              <w:rPr>
                <w:rFonts w:ascii="Arial" w:hAnsi="Arial" w:cs="Arial"/>
                <w:sz w:val="16"/>
                <w:szCs w:val="16"/>
                <w:lang w:eastAsia="en-NZ"/>
              </w:rPr>
              <w:t>Economy class</w:t>
            </w:r>
          </w:p>
        </w:tc>
        <w:tc>
          <w:tcPr>
            <w:tcW w:w="581" w:type="dxa"/>
            <w:tcBorders>
              <w:top w:val="nil"/>
              <w:left w:val="nil"/>
              <w:bottom w:val="single" w:sz="8" w:space="0" w:color="auto"/>
              <w:right w:val="single" w:sz="8" w:space="0" w:color="auto"/>
            </w:tcBorders>
            <w:shd w:val="clear" w:color="auto" w:fill="auto"/>
            <w:noWrap/>
            <w:vAlign w:val="bottom"/>
            <w:hideMark/>
          </w:tcPr>
          <w:p w:rsidR="00926773" w:rsidRPr="008E7406" w:rsidRDefault="00926773" w:rsidP="004E3235">
            <w:pPr>
              <w:spacing w:before="60" w:after="60"/>
              <w:jc w:val="left"/>
              <w:rPr>
                <w:rFonts w:ascii="Arial" w:hAnsi="Arial" w:cs="Arial"/>
                <w:sz w:val="16"/>
                <w:szCs w:val="16"/>
                <w:lang w:eastAsia="en-NZ"/>
              </w:rPr>
            </w:pPr>
            <w:proofErr w:type="spellStart"/>
            <w:r w:rsidRPr="008E7406">
              <w:rPr>
                <w:rFonts w:ascii="Arial" w:hAnsi="Arial" w:cs="Arial"/>
                <w:sz w:val="16"/>
                <w:szCs w:val="16"/>
                <w:lang w:eastAsia="en-NZ"/>
              </w:rPr>
              <w:t>pkm</w:t>
            </w:r>
            <w:proofErr w:type="spellEnd"/>
          </w:p>
        </w:tc>
        <w:tc>
          <w:tcPr>
            <w:tcW w:w="2410" w:type="dxa"/>
            <w:tcBorders>
              <w:top w:val="nil"/>
              <w:left w:val="nil"/>
              <w:bottom w:val="single" w:sz="8" w:space="0" w:color="auto"/>
              <w:right w:val="single" w:sz="8" w:space="0" w:color="auto"/>
            </w:tcBorders>
            <w:shd w:val="clear" w:color="auto" w:fill="auto"/>
            <w:noWrap/>
            <w:vAlign w:val="bottom"/>
            <w:hideMark/>
          </w:tcPr>
          <w:p w:rsidR="00926773" w:rsidRPr="00FC06DA" w:rsidRDefault="00F520EE" w:rsidP="004E3235">
            <w:pPr>
              <w:spacing w:before="60" w:after="60"/>
              <w:jc w:val="right"/>
              <w:rPr>
                <w:rFonts w:ascii="Arial" w:hAnsi="Arial" w:cs="Arial"/>
                <w:sz w:val="16"/>
                <w:szCs w:val="16"/>
                <w:lang w:eastAsia="en-NZ"/>
              </w:rPr>
            </w:pPr>
            <w:r w:rsidRPr="004E3235">
              <w:rPr>
                <w:rFonts w:ascii="Arial" w:hAnsi="Arial" w:cs="Arial"/>
                <w:sz w:val="16"/>
                <w:szCs w:val="16"/>
                <w:lang w:eastAsia="en-NZ"/>
              </w:rPr>
              <w:t>0.0725</w:t>
            </w:r>
          </w:p>
        </w:tc>
      </w:tr>
      <w:tr w:rsidR="00926773" w:rsidRPr="00FF3046" w:rsidTr="00C16ADF">
        <w:trPr>
          <w:trHeight w:val="166"/>
        </w:trPr>
        <w:tc>
          <w:tcPr>
            <w:tcW w:w="2977" w:type="dxa"/>
            <w:tcBorders>
              <w:top w:val="nil"/>
              <w:left w:val="single" w:sz="8" w:space="0" w:color="auto"/>
              <w:bottom w:val="single" w:sz="8" w:space="0" w:color="auto"/>
              <w:right w:val="single" w:sz="8" w:space="0" w:color="auto"/>
            </w:tcBorders>
            <w:shd w:val="clear" w:color="auto" w:fill="auto"/>
            <w:noWrap/>
            <w:vAlign w:val="bottom"/>
            <w:hideMark/>
          </w:tcPr>
          <w:p w:rsidR="00926773" w:rsidRPr="008E7406" w:rsidRDefault="00926773" w:rsidP="004E3235">
            <w:pPr>
              <w:spacing w:before="60" w:after="60"/>
              <w:jc w:val="left"/>
              <w:rPr>
                <w:rFonts w:ascii="Arial" w:hAnsi="Arial" w:cs="Arial"/>
                <w:sz w:val="16"/>
                <w:szCs w:val="16"/>
                <w:lang w:eastAsia="en-NZ"/>
              </w:rPr>
            </w:pPr>
            <w:r w:rsidRPr="008E7406">
              <w:rPr>
                <w:rFonts w:ascii="Arial" w:hAnsi="Arial" w:cs="Arial"/>
                <w:sz w:val="16"/>
                <w:szCs w:val="16"/>
                <w:lang w:eastAsia="en-NZ"/>
              </w:rPr>
              <w:t> </w:t>
            </w:r>
          </w:p>
        </w:tc>
        <w:tc>
          <w:tcPr>
            <w:tcW w:w="1985" w:type="dxa"/>
            <w:tcBorders>
              <w:top w:val="nil"/>
              <w:left w:val="nil"/>
              <w:bottom w:val="single" w:sz="8" w:space="0" w:color="auto"/>
              <w:right w:val="single" w:sz="8" w:space="0" w:color="auto"/>
            </w:tcBorders>
            <w:shd w:val="clear" w:color="auto" w:fill="auto"/>
            <w:noWrap/>
            <w:vAlign w:val="bottom"/>
            <w:hideMark/>
          </w:tcPr>
          <w:p w:rsidR="00926773" w:rsidRPr="008E7406" w:rsidRDefault="00926773" w:rsidP="004E3235">
            <w:pPr>
              <w:spacing w:before="60" w:after="60"/>
              <w:jc w:val="left"/>
              <w:rPr>
                <w:rFonts w:ascii="Arial" w:hAnsi="Arial" w:cs="Arial"/>
                <w:sz w:val="16"/>
                <w:szCs w:val="16"/>
                <w:lang w:eastAsia="en-NZ"/>
              </w:rPr>
            </w:pPr>
            <w:r w:rsidRPr="008E7406">
              <w:rPr>
                <w:rFonts w:ascii="Arial" w:hAnsi="Arial" w:cs="Arial"/>
                <w:sz w:val="16"/>
                <w:szCs w:val="16"/>
                <w:lang w:eastAsia="en-NZ"/>
              </w:rPr>
              <w:t>Premium economy class</w:t>
            </w:r>
          </w:p>
        </w:tc>
        <w:tc>
          <w:tcPr>
            <w:tcW w:w="581" w:type="dxa"/>
            <w:tcBorders>
              <w:top w:val="nil"/>
              <w:left w:val="nil"/>
              <w:bottom w:val="single" w:sz="8" w:space="0" w:color="auto"/>
              <w:right w:val="single" w:sz="8" w:space="0" w:color="auto"/>
            </w:tcBorders>
            <w:shd w:val="clear" w:color="auto" w:fill="auto"/>
            <w:noWrap/>
            <w:vAlign w:val="bottom"/>
            <w:hideMark/>
          </w:tcPr>
          <w:p w:rsidR="00926773" w:rsidRPr="008E7406" w:rsidRDefault="00926773" w:rsidP="004E3235">
            <w:pPr>
              <w:spacing w:before="60" w:after="60"/>
              <w:jc w:val="left"/>
              <w:rPr>
                <w:rFonts w:ascii="Arial" w:hAnsi="Arial" w:cs="Arial"/>
                <w:sz w:val="16"/>
                <w:szCs w:val="16"/>
                <w:lang w:eastAsia="en-NZ"/>
              </w:rPr>
            </w:pPr>
            <w:proofErr w:type="spellStart"/>
            <w:r w:rsidRPr="008E7406">
              <w:rPr>
                <w:rFonts w:ascii="Arial" w:hAnsi="Arial" w:cs="Arial"/>
                <w:sz w:val="16"/>
                <w:szCs w:val="16"/>
                <w:lang w:eastAsia="en-NZ"/>
              </w:rPr>
              <w:t>pkm</w:t>
            </w:r>
            <w:proofErr w:type="spellEnd"/>
          </w:p>
        </w:tc>
        <w:tc>
          <w:tcPr>
            <w:tcW w:w="2410" w:type="dxa"/>
            <w:tcBorders>
              <w:top w:val="nil"/>
              <w:left w:val="nil"/>
              <w:bottom w:val="single" w:sz="8" w:space="0" w:color="auto"/>
              <w:right w:val="single" w:sz="8" w:space="0" w:color="auto"/>
            </w:tcBorders>
            <w:shd w:val="clear" w:color="auto" w:fill="auto"/>
            <w:noWrap/>
            <w:vAlign w:val="bottom"/>
            <w:hideMark/>
          </w:tcPr>
          <w:p w:rsidR="00926773" w:rsidRPr="00FC06DA" w:rsidRDefault="00715129" w:rsidP="004E3235">
            <w:pPr>
              <w:spacing w:before="60" w:after="60"/>
              <w:jc w:val="right"/>
              <w:rPr>
                <w:rFonts w:ascii="Arial" w:hAnsi="Arial" w:cs="Arial"/>
                <w:sz w:val="16"/>
                <w:szCs w:val="16"/>
                <w:lang w:eastAsia="en-NZ"/>
              </w:rPr>
            </w:pPr>
            <w:r w:rsidRPr="004E3235">
              <w:rPr>
                <w:rFonts w:ascii="Arial" w:hAnsi="Arial" w:cs="Arial"/>
                <w:sz w:val="16"/>
                <w:szCs w:val="16"/>
                <w:lang w:eastAsia="en-NZ"/>
              </w:rPr>
              <w:t>0.116</w:t>
            </w:r>
            <w:r w:rsidR="00926773" w:rsidRPr="004E3235">
              <w:rPr>
                <w:rFonts w:ascii="Arial" w:hAnsi="Arial" w:cs="Arial"/>
                <w:sz w:val="16"/>
                <w:szCs w:val="16"/>
                <w:lang w:eastAsia="en-NZ"/>
              </w:rPr>
              <w:t xml:space="preserve"> </w:t>
            </w:r>
          </w:p>
        </w:tc>
      </w:tr>
      <w:tr w:rsidR="00926773" w:rsidRPr="00FF3046" w:rsidTr="00C16ADF">
        <w:trPr>
          <w:trHeight w:val="166"/>
        </w:trPr>
        <w:tc>
          <w:tcPr>
            <w:tcW w:w="2977" w:type="dxa"/>
            <w:tcBorders>
              <w:top w:val="nil"/>
              <w:left w:val="single" w:sz="8" w:space="0" w:color="auto"/>
              <w:bottom w:val="single" w:sz="8" w:space="0" w:color="auto"/>
              <w:right w:val="single" w:sz="8" w:space="0" w:color="auto"/>
            </w:tcBorders>
            <w:shd w:val="clear" w:color="auto" w:fill="auto"/>
            <w:noWrap/>
            <w:vAlign w:val="bottom"/>
            <w:hideMark/>
          </w:tcPr>
          <w:p w:rsidR="00926773" w:rsidRPr="008E7406" w:rsidRDefault="00926773" w:rsidP="004E3235">
            <w:pPr>
              <w:spacing w:before="60" w:after="60"/>
              <w:jc w:val="left"/>
              <w:rPr>
                <w:rFonts w:ascii="Arial" w:hAnsi="Arial" w:cs="Arial"/>
                <w:sz w:val="16"/>
                <w:szCs w:val="16"/>
                <w:lang w:eastAsia="en-NZ"/>
              </w:rPr>
            </w:pPr>
            <w:r w:rsidRPr="008E7406">
              <w:rPr>
                <w:rFonts w:ascii="Arial" w:hAnsi="Arial" w:cs="Arial"/>
                <w:sz w:val="16"/>
                <w:szCs w:val="16"/>
                <w:lang w:eastAsia="en-NZ"/>
              </w:rPr>
              <w:t> </w:t>
            </w:r>
          </w:p>
        </w:tc>
        <w:tc>
          <w:tcPr>
            <w:tcW w:w="1985" w:type="dxa"/>
            <w:tcBorders>
              <w:top w:val="nil"/>
              <w:left w:val="nil"/>
              <w:bottom w:val="single" w:sz="8" w:space="0" w:color="auto"/>
              <w:right w:val="single" w:sz="8" w:space="0" w:color="auto"/>
            </w:tcBorders>
            <w:shd w:val="clear" w:color="auto" w:fill="auto"/>
            <w:noWrap/>
            <w:vAlign w:val="bottom"/>
            <w:hideMark/>
          </w:tcPr>
          <w:p w:rsidR="00926773" w:rsidRPr="008E7406" w:rsidRDefault="00926773" w:rsidP="004E3235">
            <w:pPr>
              <w:spacing w:before="60" w:after="60"/>
              <w:jc w:val="left"/>
              <w:rPr>
                <w:rFonts w:ascii="Arial" w:hAnsi="Arial" w:cs="Arial"/>
                <w:sz w:val="16"/>
                <w:szCs w:val="16"/>
                <w:lang w:eastAsia="en-NZ"/>
              </w:rPr>
            </w:pPr>
            <w:r w:rsidRPr="008E7406">
              <w:rPr>
                <w:rFonts w:ascii="Arial" w:hAnsi="Arial" w:cs="Arial"/>
                <w:sz w:val="16"/>
                <w:szCs w:val="16"/>
                <w:lang w:eastAsia="en-NZ"/>
              </w:rPr>
              <w:t>Business class</w:t>
            </w:r>
          </w:p>
        </w:tc>
        <w:tc>
          <w:tcPr>
            <w:tcW w:w="581" w:type="dxa"/>
            <w:tcBorders>
              <w:top w:val="nil"/>
              <w:left w:val="nil"/>
              <w:bottom w:val="single" w:sz="8" w:space="0" w:color="auto"/>
              <w:right w:val="single" w:sz="8" w:space="0" w:color="auto"/>
            </w:tcBorders>
            <w:shd w:val="clear" w:color="auto" w:fill="auto"/>
            <w:noWrap/>
            <w:vAlign w:val="bottom"/>
            <w:hideMark/>
          </w:tcPr>
          <w:p w:rsidR="00926773" w:rsidRPr="008E7406" w:rsidRDefault="00926773" w:rsidP="004E3235">
            <w:pPr>
              <w:spacing w:before="60" w:after="60"/>
              <w:jc w:val="left"/>
              <w:rPr>
                <w:rFonts w:ascii="Arial" w:hAnsi="Arial" w:cs="Arial"/>
                <w:sz w:val="16"/>
                <w:szCs w:val="16"/>
                <w:lang w:eastAsia="en-NZ"/>
              </w:rPr>
            </w:pPr>
            <w:proofErr w:type="spellStart"/>
            <w:r w:rsidRPr="008E7406">
              <w:rPr>
                <w:rFonts w:ascii="Arial" w:hAnsi="Arial" w:cs="Arial"/>
                <w:sz w:val="16"/>
                <w:szCs w:val="16"/>
                <w:lang w:eastAsia="en-NZ"/>
              </w:rPr>
              <w:t>pkm</w:t>
            </w:r>
            <w:proofErr w:type="spellEnd"/>
          </w:p>
        </w:tc>
        <w:tc>
          <w:tcPr>
            <w:tcW w:w="2410" w:type="dxa"/>
            <w:tcBorders>
              <w:top w:val="nil"/>
              <w:left w:val="nil"/>
              <w:bottom w:val="single" w:sz="8" w:space="0" w:color="auto"/>
              <w:right w:val="single" w:sz="8" w:space="0" w:color="auto"/>
            </w:tcBorders>
            <w:shd w:val="clear" w:color="auto" w:fill="auto"/>
            <w:noWrap/>
            <w:vAlign w:val="bottom"/>
            <w:hideMark/>
          </w:tcPr>
          <w:p w:rsidR="00926773" w:rsidRPr="00FC06DA" w:rsidRDefault="00FC06DA" w:rsidP="004E3235">
            <w:pPr>
              <w:spacing w:before="60" w:after="60"/>
              <w:jc w:val="right"/>
              <w:rPr>
                <w:rFonts w:ascii="Arial" w:hAnsi="Arial" w:cs="Arial"/>
                <w:sz w:val="16"/>
                <w:szCs w:val="16"/>
                <w:lang w:eastAsia="en-NZ"/>
              </w:rPr>
            </w:pPr>
            <w:r w:rsidRPr="004E3235">
              <w:rPr>
                <w:rFonts w:ascii="Arial" w:hAnsi="Arial" w:cs="Arial"/>
                <w:sz w:val="16"/>
                <w:szCs w:val="16"/>
                <w:lang w:eastAsia="en-NZ"/>
              </w:rPr>
              <w:t>0.210</w:t>
            </w:r>
            <w:r w:rsidR="00926773" w:rsidRPr="004E3235">
              <w:rPr>
                <w:rFonts w:ascii="Arial" w:hAnsi="Arial" w:cs="Arial"/>
                <w:sz w:val="16"/>
                <w:szCs w:val="16"/>
                <w:lang w:eastAsia="en-NZ"/>
              </w:rPr>
              <w:t xml:space="preserve"> </w:t>
            </w:r>
          </w:p>
        </w:tc>
      </w:tr>
      <w:tr w:rsidR="00926773" w:rsidRPr="00FF3046" w:rsidTr="00C16ADF">
        <w:trPr>
          <w:trHeight w:val="166"/>
        </w:trPr>
        <w:tc>
          <w:tcPr>
            <w:tcW w:w="2977" w:type="dxa"/>
            <w:tcBorders>
              <w:top w:val="nil"/>
              <w:left w:val="single" w:sz="8" w:space="0" w:color="auto"/>
              <w:bottom w:val="single" w:sz="8" w:space="0" w:color="auto"/>
              <w:right w:val="single" w:sz="8" w:space="0" w:color="auto"/>
            </w:tcBorders>
            <w:shd w:val="clear" w:color="auto" w:fill="auto"/>
            <w:noWrap/>
            <w:vAlign w:val="bottom"/>
            <w:hideMark/>
          </w:tcPr>
          <w:p w:rsidR="00926773" w:rsidRPr="008E7406" w:rsidRDefault="00926773" w:rsidP="004E3235">
            <w:pPr>
              <w:spacing w:before="60" w:after="60"/>
              <w:jc w:val="left"/>
              <w:rPr>
                <w:rFonts w:ascii="Arial" w:hAnsi="Arial" w:cs="Arial"/>
                <w:sz w:val="16"/>
                <w:szCs w:val="16"/>
                <w:lang w:eastAsia="en-NZ"/>
              </w:rPr>
            </w:pPr>
            <w:r w:rsidRPr="008E7406">
              <w:rPr>
                <w:rFonts w:ascii="Arial" w:hAnsi="Arial" w:cs="Arial"/>
                <w:sz w:val="16"/>
                <w:szCs w:val="16"/>
                <w:lang w:eastAsia="en-NZ"/>
              </w:rPr>
              <w:t> </w:t>
            </w:r>
          </w:p>
        </w:tc>
        <w:tc>
          <w:tcPr>
            <w:tcW w:w="1985" w:type="dxa"/>
            <w:tcBorders>
              <w:top w:val="nil"/>
              <w:left w:val="nil"/>
              <w:bottom w:val="single" w:sz="8" w:space="0" w:color="auto"/>
              <w:right w:val="single" w:sz="8" w:space="0" w:color="auto"/>
            </w:tcBorders>
            <w:shd w:val="clear" w:color="auto" w:fill="auto"/>
            <w:noWrap/>
            <w:vAlign w:val="bottom"/>
            <w:hideMark/>
          </w:tcPr>
          <w:p w:rsidR="00926773" w:rsidRPr="008E7406" w:rsidRDefault="00926773" w:rsidP="004E3235">
            <w:pPr>
              <w:spacing w:before="60" w:after="60"/>
              <w:jc w:val="left"/>
              <w:rPr>
                <w:rFonts w:ascii="Arial" w:hAnsi="Arial" w:cs="Arial"/>
                <w:sz w:val="16"/>
                <w:szCs w:val="16"/>
                <w:lang w:eastAsia="en-NZ"/>
              </w:rPr>
            </w:pPr>
            <w:r w:rsidRPr="008E7406">
              <w:rPr>
                <w:rFonts w:ascii="Arial" w:hAnsi="Arial" w:cs="Arial"/>
                <w:sz w:val="16"/>
                <w:szCs w:val="16"/>
                <w:lang w:eastAsia="en-NZ"/>
              </w:rPr>
              <w:t>First class</w:t>
            </w:r>
          </w:p>
        </w:tc>
        <w:tc>
          <w:tcPr>
            <w:tcW w:w="581" w:type="dxa"/>
            <w:tcBorders>
              <w:top w:val="nil"/>
              <w:left w:val="nil"/>
              <w:bottom w:val="single" w:sz="8" w:space="0" w:color="auto"/>
              <w:right w:val="single" w:sz="8" w:space="0" w:color="auto"/>
            </w:tcBorders>
            <w:shd w:val="clear" w:color="auto" w:fill="auto"/>
            <w:noWrap/>
            <w:vAlign w:val="bottom"/>
            <w:hideMark/>
          </w:tcPr>
          <w:p w:rsidR="00926773" w:rsidRPr="008E7406" w:rsidRDefault="00926773" w:rsidP="004E3235">
            <w:pPr>
              <w:spacing w:before="60" w:after="60"/>
              <w:jc w:val="left"/>
              <w:rPr>
                <w:rFonts w:ascii="Arial" w:hAnsi="Arial" w:cs="Arial"/>
                <w:sz w:val="16"/>
                <w:szCs w:val="16"/>
                <w:lang w:eastAsia="en-NZ"/>
              </w:rPr>
            </w:pPr>
            <w:proofErr w:type="spellStart"/>
            <w:r w:rsidRPr="008E7406">
              <w:rPr>
                <w:rFonts w:ascii="Arial" w:hAnsi="Arial" w:cs="Arial"/>
                <w:sz w:val="16"/>
                <w:szCs w:val="16"/>
                <w:lang w:eastAsia="en-NZ"/>
              </w:rPr>
              <w:t>pkm</w:t>
            </w:r>
            <w:proofErr w:type="spellEnd"/>
          </w:p>
        </w:tc>
        <w:tc>
          <w:tcPr>
            <w:tcW w:w="2410" w:type="dxa"/>
            <w:tcBorders>
              <w:top w:val="nil"/>
              <w:left w:val="nil"/>
              <w:bottom w:val="single" w:sz="8" w:space="0" w:color="auto"/>
              <w:right w:val="single" w:sz="8" w:space="0" w:color="auto"/>
            </w:tcBorders>
            <w:shd w:val="clear" w:color="auto" w:fill="auto"/>
            <w:noWrap/>
            <w:vAlign w:val="bottom"/>
            <w:hideMark/>
          </w:tcPr>
          <w:p w:rsidR="00926773" w:rsidRPr="00FC06DA" w:rsidRDefault="00FC06DA" w:rsidP="004E3235">
            <w:pPr>
              <w:spacing w:before="60" w:after="60"/>
              <w:jc w:val="right"/>
              <w:rPr>
                <w:rFonts w:ascii="Arial" w:hAnsi="Arial" w:cs="Arial"/>
                <w:sz w:val="16"/>
                <w:szCs w:val="16"/>
                <w:lang w:eastAsia="en-NZ"/>
              </w:rPr>
            </w:pPr>
            <w:r w:rsidRPr="004E3235">
              <w:rPr>
                <w:rFonts w:ascii="Arial" w:hAnsi="Arial" w:cs="Arial"/>
                <w:sz w:val="16"/>
                <w:szCs w:val="16"/>
                <w:lang w:eastAsia="en-NZ"/>
              </w:rPr>
              <w:t>0.290</w:t>
            </w:r>
            <w:r w:rsidR="00926773" w:rsidRPr="004E3235">
              <w:rPr>
                <w:rFonts w:ascii="Arial" w:hAnsi="Arial" w:cs="Arial"/>
                <w:sz w:val="16"/>
                <w:szCs w:val="16"/>
                <w:lang w:eastAsia="en-NZ"/>
              </w:rPr>
              <w:t xml:space="preserve"> </w:t>
            </w:r>
          </w:p>
        </w:tc>
      </w:tr>
    </w:tbl>
    <w:p w:rsidR="009E3385" w:rsidRDefault="009E3385" w:rsidP="00E328F0">
      <w:pPr>
        <w:pStyle w:val="Note"/>
        <w:ind w:left="397" w:hanging="397"/>
        <w:jc w:val="left"/>
      </w:pPr>
      <w:r>
        <w:t>*</w:t>
      </w:r>
      <w:r w:rsidR="00B44542">
        <w:tab/>
      </w:r>
      <w:r>
        <w:t>person kilometres</w:t>
      </w:r>
    </w:p>
    <w:p w:rsidR="009E3385" w:rsidRPr="000F1882" w:rsidRDefault="009E3385" w:rsidP="00E328F0">
      <w:pPr>
        <w:pStyle w:val="Heading4"/>
        <w:jc w:val="left"/>
      </w:pPr>
      <w:bookmarkStart w:id="184" w:name="_Toc185407849"/>
      <w:r w:rsidRPr="000F1882">
        <w:t>Assumptions</w:t>
      </w:r>
      <w:bookmarkEnd w:id="184"/>
    </w:p>
    <w:p w:rsidR="00446522" w:rsidRDefault="009E3385" w:rsidP="00E328F0">
      <w:pPr>
        <w:jc w:val="left"/>
      </w:pPr>
      <w:r w:rsidRPr="000F1882">
        <w:t xml:space="preserve">The emission factors contained in </w:t>
      </w:r>
      <w:r w:rsidR="00EB1450">
        <w:t>table</w:t>
      </w:r>
      <w:r w:rsidR="00B44542">
        <w:t xml:space="preserve"> 8</w:t>
      </w:r>
      <w:r w:rsidRPr="000F1882">
        <w:t xml:space="preserve"> are based on</w:t>
      </w:r>
      <w:r w:rsidR="007A093D">
        <w:t xml:space="preserve"> UK and European data</w:t>
      </w:r>
      <w:r w:rsidRPr="000F1882">
        <w:t>. The domestic emission factor should be applied to all domestic flights</w:t>
      </w:r>
      <w:r w:rsidR="009C79FC">
        <w:t xml:space="preserve"> within New Zealand</w:t>
      </w:r>
      <w:r w:rsidRPr="000F1882">
        <w:t xml:space="preserve">; the short haul emission factor to </w:t>
      </w:r>
      <w:r w:rsidR="001D2A85">
        <w:t xml:space="preserve">international </w:t>
      </w:r>
      <w:r w:rsidRPr="000F1882">
        <w:t>flights less than 3700 km; and the long haul emission factor should be applied to any flights greater in length than 3700 km.</w:t>
      </w:r>
      <w:r w:rsidR="001D2A85">
        <w:t xml:space="preserve"> </w:t>
      </w:r>
    </w:p>
    <w:p w:rsidR="00AB4DB1" w:rsidRDefault="00AB4DB1" w:rsidP="00E328F0">
      <w:pPr>
        <w:jc w:val="left"/>
      </w:pPr>
    </w:p>
    <w:p w:rsidR="009E3385" w:rsidRPr="000F1882" w:rsidRDefault="008F5D47" w:rsidP="00E328F0">
      <w:pPr>
        <w:jc w:val="left"/>
      </w:pPr>
      <w:r>
        <w:lastRenderedPageBreak/>
        <w:t>The specified emissio</w:t>
      </w:r>
      <w:r w:rsidR="00AB4DB1">
        <w:t xml:space="preserve">n factors for </w:t>
      </w:r>
      <w:r w:rsidR="00C767F4">
        <w:t>differen</w:t>
      </w:r>
      <w:r w:rsidR="00832D3D">
        <w:t>t</w:t>
      </w:r>
      <w:r w:rsidR="00C767F4">
        <w:t xml:space="preserve"> </w:t>
      </w:r>
      <w:r w:rsidR="00AB4DB1">
        <w:t>cabin class</w:t>
      </w:r>
      <w:r w:rsidR="00832D3D">
        <w:t>es</w:t>
      </w:r>
      <w:r>
        <w:t xml:space="preserve"> should </w:t>
      </w:r>
      <w:r w:rsidR="00832D3D">
        <w:t>be used where information is available. T</w:t>
      </w:r>
      <w:r>
        <w:t xml:space="preserve">he average emission factors can be applied </w:t>
      </w:r>
      <w:r w:rsidR="0068622F">
        <w:t xml:space="preserve">where </w:t>
      </w:r>
      <w:r w:rsidR="00832D3D">
        <w:t xml:space="preserve">the </w:t>
      </w:r>
      <w:r w:rsidR="0068622F">
        <w:t xml:space="preserve">cabin classes </w:t>
      </w:r>
      <w:r w:rsidR="00832D3D">
        <w:t xml:space="preserve">taken </w:t>
      </w:r>
      <w:r w:rsidR="0068622F">
        <w:t>are</w:t>
      </w:r>
      <w:r w:rsidR="00AB4DB1">
        <w:t xml:space="preserve"> unknown.</w:t>
      </w:r>
    </w:p>
    <w:p w:rsidR="009E3385" w:rsidRPr="000F1882" w:rsidRDefault="009E3385" w:rsidP="00E328F0">
      <w:pPr>
        <w:jc w:val="left"/>
      </w:pPr>
    </w:p>
    <w:p w:rsidR="009E3385" w:rsidRPr="000F1882" w:rsidRDefault="00D863F9" w:rsidP="00E328F0">
      <w:pPr>
        <w:keepLines/>
        <w:jc w:val="left"/>
      </w:pPr>
      <w:r>
        <w:t xml:space="preserve">The </w:t>
      </w:r>
      <w:r w:rsidR="007913FD" w:rsidRPr="007913FD">
        <w:t>UK Department for Business, Energy &amp; Industrial Strategy</w:t>
      </w:r>
      <w:r w:rsidR="007913FD" w:rsidRPr="007913FD" w:rsidDel="007913FD">
        <w:t xml:space="preserve"> </w:t>
      </w:r>
      <w:r w:rsidR="009E3385" w:rsidRPr="000F1882">
        <w:t xml:space="preserve">endorses </w:t>
      </w:r>
      <w:r w:rsidR="001C212F">
        <w:t xml:space="preserve">a </w:t>
      </w:r>
      <w:r w:rsidR="009E3385" w:rsidRPr="000F1882">
        <w:t>great circle distance uplift factor to take into account non</w:t>
      </w:r>
      <w:r w:rsidR="009E3385" w:rsidRPr="000F1882">
        <w:noBreakHyphen/>
        <w:t>direct (</w:t>
      </w:r>
      <w:proofErr w:type="spellStart"/>
      <w:r w:rsidR="009E3385" w:rsidRPr="000F1882">
        <w:t>ie</w:t>
      </w:r>
      <w:proofErr w:type="spellEnd"/>
      <w:r w:rsidR="009E3385" w:rsidRPr="000F1882">
        <w:t>, not along the straight</w:t>
      </w:r>
      <w:r w:rsidR="009E3385">
        <w:t>-</w:t>
      </w:r>
      <w:r w:rsidR="009E3385" w:rsidRPr="000F1882">
        <w:t>line</w:t>
      </w:r>
      <w:r w:rsidR="009E3385">
        <w:t xml:space="preserve">/great-circle </w:t>
      </w:r>
      <w:r w:rsidR="009E3385" w:rsidRPr="000F1882">
        <w:t xml:space="preserve">between destinations) routes and delays/circling. </w:t>
      </w:r>
      <w:r w:rsidR="0035751E">
        <w:t xml:space="preserve">The eight per cent uplift factor applied by </w:t>
      </w:r>
      <w:r w:rsidR="007913FD" w:rsidRPr="007913FD">
        <w:t>UK Department for Business, Energy &amp; Industrial Strategy</w:t>
      </w:r>
      <w:r w:rsidR="0035751E">
        <w:t xml:space="preserve"> is based on the analysis of flights arriving and departing from the </w:t>
      </w:r>
      <w:r w:rsidR="00814B1B">
        <w:t>UK.</w:t>
      </w:r>
      <w:r w:rsidR="0035751E">
        <w:t xml:space="preserve"> </w:t>
      </w:r>
      <w:r w:rsidR="009E3385" w:rsidRPr="000F1882">
        <w:t>This figure is likely to be overstated in New Zealand (initial estimates from Airways New Zealand is that this figure is likely to be less than five per cent)</w:t>
      </w:r>
      <w:r w:rsidR="009E3385">
        <w:t>.</w:t>
      </w:r>
      <w:r w:rsidR="009E3385" w:rsidRPr="000F1882">
        <w:t xml:space="preserve"> </w:t>
      </w:r>
      <w:r w:rsidR="009E3385">
        <w:t>H</w:t>
      </w:r>
      <w:r w:rsidR="009E3385" w:rsidRPr="000F1882">
        <w:t>owever</w:t>
      </w:r>
      <w:r w:rsidR="007A3C44">
        <w:t>,</w:t>
      </w:r>
      <w:r w:rsidR="009E3385" w:rsidRPr="000F1882">
        <w:t xml:space="preserve"> in the absence of a New Zealand-specific figure it is recommended those wishing to take</w:t>
      </w:r>
      <w:r w:rsidR="00B44542">
        <w:t xml:space="preserve"> </w:t>
      </w:r>
      <w:r w:rsidR="009E3385" w:rsidRPr="000F1882">
        <w:t xml:space="preserve">a conservative approach apply </w:t>
      </w:r>
      <w:r w:rsidR="00FC5357">
        <w:t xml:space="preserve">a </w:t>
      </w:r>
      <w:r w:rsidR="009E3385" w:rsidRPr="000F1882">
        <w:t>nine per cent uplift factor</w:t>
      </w:r>
      <w:r w:rsidR="0035751E">
        <w:t>.</w:t>
      </w:r>
      <w:r w:rsidR="009E3385" w:rsidRPr="000F1882">
        <w:t xml:space="preserve"> </w:t>
      </w:r>
      <w:r w:rsidR="0035751E">
        <w:t>The value of nine per cent</w:t>
      </w:r>
      <w:r w:rsidR="0035751E" w:rsidRPr="000F1882">
        <w:t xml:space="preserve"> comes from </w:t>
      </w:r>
      <w:r w:rsidR="0035751E">
        <w:t>an Intergovernmental Panel on Climate Change (</w:t>
      </w:r>
      <w:r w:rsidR="0035751E" w:rsidRPr="000F1882">
        <w:t>IPCC</w:t>
      </w:r>
      <w:r w:rsidR="0035751E">
        <w:t>)</w:t>
      </w:r>
      <w:r w:rsidR="0035751E" w:rsidRPr="000F1882">
        <w:t xml:space="preserve"> </w:t>
      </w:r>
      <w:r w:rsidR="0035751E">
        <w:t xml:space="preserve">publication </w:t>
      </w:r>
      <w:r w:rsidR="0035751E" w:rsidRPr="000F1882">
        <w:rPr>
          <w:i/>
        </w:rPr>
        <w:t>Aviation and the Global Atmosphere</w:t>
      </w:r>
      <w:r w:rsidR="0035751E" w:rsidRPr="000C2E87">
        <w:t xml:space="preserve"> (</w:t>
      </w:r>
      <w:r w:rsidR="0035751E">
        <w:t>refer to s</w:t>
      </w:r>
      <w:r w:rsidR="0035751E" w:rsidRPr="000C2E87">
        <w:t>ection</w:t>
      </w:r>
      <w:r w:rsidR="0035751E" w:rsidRPr="000F1882">
        <w:rPr>
          <w:i/>
        </w:rPr>
        <w:t xml:space="preserve"> </w:t>
      </w:r>
      <w:r w:rsidR="0035751E" w:rsidRPr="000F1882">
        <w:t>8.2.2.3</w:t>
      </w:r>
      <w:r w:rsidR="0035751E">
        <w:t>)</w:t>
      </w:r>
      <w:r w:rsidR="0035751E" w:rsidRPr="000F1882">
        <w:t>, and is based on studies on penalties to air traffic associated with </w:t>
      </w:r>
      <w:r w:rsidR="00BF6138">
        <w:t>the European ATS Route Network.</w:t>
      </w:r>
      <w:r w:rsidR="00814B1B">
        <w:t xml:space="preserve"> The nine percent uplift factor can be applied </w:t>
      </w:r>
      <w:r w:rsidR="009E3385" w:rsidRPr="000F1882">
        <w:t xml:space="preserve">by multiplying the factors in </w:t>
      </w:r>
      <w:r w:rsidR="00EB1450">
        <w:t>table</w:t>
      </w:r>
      <w:r w:rsidR="009E3385" w:rsidRPr="000F1882">
        <w:t xml:space="preserve"> </w:t>
      </w:r>
      <w:r w:rsidR="009E3385">
        <w:t>8</w:t>
      </w:r>
      <w:r w:rsidR="009E3385" w:rsidRPr="000F1882">
        <w:t xml:space="preserve"> by 1.09.</w:t>
      </w:r>
    </w:p>
    <w:p w:rsidR="009E3385" w:rsidRPr="000F1882" w:rsidRDefault="009E3385" w:rsidP="00E328F0">
      <w:pPr>
        <w:jc w:val="left"/>
      </w:pPr>
    </w:p>
    <w:p w:rsidR="009E3385" w:rsidRDefault="009E3385" w:rsidP="00E328F0">
      <w:pPr>
        <w:jc w:val="left"/>
      </w:pPr>
      <w:r w:rsidRPr="00C96354">
        <w:t>The emission factors refer to aviation</w:t>
      </w:r>
      <w:r w:rsidR="00EC1311">
        <w:t>’</w:t>
      </w:r>
      <w:r w:rsidRPr="00C96354">
        <w:t>s direct carbon dioxide (CO</w:t>
      </w:r>
      <w:r w:rsidRPr="00C96354">
        <w:rPr>
          <w:vertAlign w:val="subscript"/>
        </w:rPr>
        <w:t>2</w:t>
      </w:r>
      <w:r w:rsidRPr="00C96354">
        <w:t>), methane (CH</w:t>
      </w:r>
      <w:r w:rsidRPr="00C96354">
        <w:rPr>
          <w:vertAlign w:val="subscript"/>
        </w:rPr>
        <w:t>4</w:t>
      </w:r>
      <w:r w:rsidRPr="00C96354">
        <w:t>)</w:t>
      </w:r>
      <w:r>
        <w:t>,</w:t>
      </w:r>
      <w:r w:rsidRPr="00C96354">
        <w:t xml:space="preserve"> and nitrous oxide (N</w:t>
      </w:r>
      <w:r w:rsidRPr="00C96354">
        <w:rPr>
          <w:vertAlign w:val="subscript"/>
        </w:rPr>
        <w:t>2</w:t>
      </w:r>
      <w:r w:rsidRPr="00C96354">
        <w:t>O) emissions only. There is currently uncertainty over the other non-CO</w:t>
      </w:r>
      <w:r w:rsidRPr="00C96354">
        <w:rPr>
          <w:vertAlign w:val="subscript"/>
        </w:rPr>
        <w:t>2</w:t>
      </w:r>
      <w:r w:rsidRPr="00C96354">
        <w:t xml:space="preserve"> climate change effects of aviation (including water vapour, contrails</w:t>
      </w:r>
      <w:r w:rsidR="00F85F85">
        <w:t xml:space="preserve"> and </w:t>
      </w:r>
      <w:r w:rsidRPr="00C96354">
        <w:t xml:space="preserve">NOx) which </w:t>
      </w:r>
      <w:r w:rsidRPr="000F1882">
        <w:t>have been estimated by the IPCC to be up to two to four times those of CO</w:t>
      </w:r>
      <w:r w:rsidRPr="000F1882">
        <w:rPr>
          <w:vertAlign w:val="subscript"/>
        </w:rPr>
        <w:t>2</w:t>
      </w:r>
      <w:r w:rsidRPr="000F1882">
        <w:t xml:space="preserve"> alone.</w:t>
      </w:r>
      <w:r w:rsidRPr="00C96354">
        <w:t xml:space="preserve"> </w:t>
      </w:r>
      <w:r w:rsidRPr="000F1882">
        <w:t>However, the science in this area is currently uncertain and a multiplier is not used for New Zealand</w:t>
      </w:r>
      <w:r w:rsidR="00EC1311">
        <w:t>’</w:t>
      </w:r>
      <w:r w:rsidRPr="000F1882">
        <w:t xml:space="preserve">s national </w:t>
      </w:r>
      <w:r w:rsidR="007B5351">
        <w:t>GHG</w:t>
      </w:r>
      <w:r w:rsidRPr="000F1882">
        <w:t xml:space="preserve"> inventory reporting. As the emission factors contained in this guide are intended to be consistent with New Zealand</w:t>
      </w:r>
      <w:r w:rsidR="00EC1311">
        <w:t>’</w:t>
      </w:r>
      <w:r w:rsidRPr="000F1882">
        <w:t xml:space="preserve">s national </w:t>
      </w:r>
      <w:r w:rsidR="007B5351">
        <w:t xml:space="preserve">GHG </w:t>
      </w:r>
      <w:r w:rsidRPr="000F1882">
        <w:t xml:space="preserve">inventory reporting, it is not currently deemed appropriate to apply a multiplier to account for </w:t>
      </w:r>
      <w:r>
        <w:t>other aviation gases and effects</w:t>
      </w:r>
      <w:r w:rsidRPr="000F1882">
        <w:t>.</w:t>
      </w:r>
    </w:p>
    <w:p w:rsidR="001B7D3F" w:rsidRDefault="001B7D3F" w:rsidP="00E328F0">
      <w:pPr>
        <w:jc w:val="left"/>
      </w:pPr>
    </w:p>
    <w:p w:rsidR="001B7D3F" w:rsidRDefault="001B7D3F" w:rsidP="00E328F0">
      <w:pPr>
        <w:jc w:val="left"/>
      </w:pPr>
      <w:r w:rsidRPr="001B7D3F">
        <w:t>Air travel factors are calculated on the basis of the area of the plane each passenger takes up. If a plane is comprised totally of business-class seats, as opposed to more closely packed economy class seats, fewer passengers can fly. Therefore, each passenger takes a larger sha</w:t>
      </w:r>
      <w:r w:rsidR="00E328F0">
        <w:t xml:space="preserve">re of the emissions. </w:t>
      </w:r>
    </w:p>
    <w:p w:rsidR="009C79FC" w:rsidRPr="000F1882" w:rsidRDefault="009C79FC" w:rsidP="00B44542"/>
    <w:p w:rsidR="009E3385" w:rsidRPr="000F1882" w:rsidRDefault="009E3385" w:rsidP="00B44542">
      <w:pPr>
        <w:pStyle w:val="Heading4"/>
      </w:pPr>
      <w:bookmarkStart w:id="185" w:name="_Toc185407850"/>
      <w:r w:rsidRPr="000F1882">
        <w:t>Example calculation</w:t>
      </w:r>
      <w:bookmarkEnd w:id="185"/>
    </w:p>
    <w:p w:rsidR="00EC1311" w:rsidRDefault="009E3385" w:rsidP="00AC65E9">
      <w:pPr>
        <w:jc w:val="left"/>
      </w:pPr>
      <w:r w:rsidRPr="000F1882">
        <w:t xml:space="preserve">An organisation makes </w:t>
      </w:r>
      <w:r w:rsidR="007E5ABE">
        <w:t>five</w:t>
      </w:r>
      <w:r w:rsidR="007E5ABE" w:rsidRPr="000F1882">
        <w:t xml:space="preserve"> </w:t>
      </w:r>
      <w:r w:rsidRPr="000F1882">
        <w:t xml:space="preserve">flights from Auckland to </w:t>
      </w:r>
      <w:r w:rsidR="00A91B8F">
        <w:t>Shanghai</w:t>
      </w:r>
      <w:r w:rsidRPr="000F1882">
        <w:t xml:space="preserve"> (</w:t>
      </w:r>
      <w:r w:rsidR="00A91B8F">
        <w:t>9308</w:t>
      </w:r>
      <w:r w:rsidR="00A91B8F" w:rsidRPr="000F1882">
        <w:t xml:space="preserve"> </w:t>
      </w:r>
      <w:r w:rsidRPr="000F1882">
        <w:t xml:space="preserve">km each way). </w:t>
      </w:r>
      <w:r w:rsidR="00096750">
        <w:t xml:space="preserve">On the first occasion </w:t>
      </w:r>
      <w:r w:rsidR="00F42031">
        <w:t>two</w:t>
      </w:r>
      <w:r w:rsidR="007E5ABE">
        <w:t xml:space="preserve"> </w:t>
      </w:r>
      <w:r w:rsidR="00096750">
        <w:t xml:space="preserve">people flew return to </w:t>
      </w:r>
      <w:r w:rsidR="00A7661D">
        <w:t xml:space="preserve">Shanghai </w:t>
      </w:r>
      <w:r w:rsidR="00096750">
        <w:t>on the same flight</w:t>
      </w:r>
      <w:r w:rsidR="00A7661D">
        <w:t xml:space="preserve"> in economy class</w:t>
      </w:r>
      <w:r w:rsidR="00096750">
        <w:t>. On the second occasion</w:t>
      </w:r>
      <w:r w:rsidR="005C07C8">
        <w:t xml:space="preserve"> </w:t>
      </w:r>
      <w:r w:rsidR="00A7661D">
        <w:t>three</w:t>
      </w:r>
      <w:r w:rsidR="007E5ABE">
        <w:t xml:space="preserve"> </w:t>
      </w:r>
      <w:r w:rsidR="00096750">
        <w:t>people flew return to</w:t>
      </w:r>
      <w:r w:rsidR="0002153B">
        <w:t xml:space="preserve"> </w:t>
      </w:r>
      <w:r w:rsidR="006E689C">
        <w:t>S</w:t>
      </w:r>
      <w:r w:rsidR="00A7661D">
        <w:t xml:space="preserve">hanghai and the cabin classes were </w:t>
      </w:r>
      <w:r w:rsidR="0084675C">
        <w:t>not recorded</w:t>
      </w:r>
      <w:r w:rsidR="0002153B">
        <w:t xml:space="preserve">. </w:t>
      </w:r>
      <w:r w:rsidRPr="000F1882">
        <w:t xml:space="preserve">The total </w:t>
      </w:r>
      <w:r w:rsidR="00175329">
        <w:t>person kilometres</w:t>
      </w:r>
      <w:r w:rsidRPr="000F1882">
        <w:t xml:space="preserve"> travelled was </w:t>
      </w:r>
      <w:r w:rsidR="00DA31C1">
        <w:t>93,080</w:t>
      </w:r>
      <w:r w:rsidRPr="000F1882">
        <w:t xml:space="preserve"> km.</w:t>
      </w:r>
    </w:p>
    <w:p w:rsidR="0002153B" w:rsidRDefault="0002153B" w:rsidP="00AC65E9">
      <w:pPr>
        <w:jc w:val="left"/>
      </w:pPr>
    </w:p>
    <w:p w:rsidR="00DA31C1" w:rsidRDefault="00A77472" w:rsidP="00AC65E9">
      <w:pPr>
        <w:ind w:firstLine="397"/>
        <w:jc w:val="left"/>
      </w:pPr>
      <w:r>
        <w:t>For the two people who travel</w:t>
      </w:r>
      <w:r w:rsidR="00DA31C1">
        <w:t xml:space="preserve"> economy class:</w:t>
      </w:r>
    </w:p>
    <w:p w:rsidR="002C7DE1" w:rsidRDefault="00C61854" w:rsidP="00AC65E9">
      <w:pPr>
        <w:ind w:firstLine="397"/>
        <w:jc w:val="left"/>
      </w:pPr>
      <w:r>
        <w:t>Person k</w:t>
      </w:r>
      <w:r w:rsidR="0002153B">
        <w:t xml:space="preserve">ilometres travelled = </w:t>
      </w:r>
      <w:r w:rsidR="002C7DE1">
        <w:t>2</w:t>
      </w:r>
      <w:r w:rsidR="0002153B">
        <w:t xml:space="preserve"> × </w:t>
      </w:r>
      <w:r w:rsidR="00F42031">
        <w:t xml:space="preserve">9308 </w:t>
      </w:r>
      <w:r w:rsidR="0002153B">
        <w:t>× 2</w:t>
      </w:r>
      <w:r w:rsidR="002C7DE1">
        <w:t xml:space="preserve"> = 37,232</w:t>
      </w:r>
      <w:r w:rsidR="0002153B">
        <w:t xml:space="preserve"> </w:t>
      </w:r>
      <w:proofErr w:type="spellStart"/>
      <w:r>
        <w:t>p</w:t>
      </w:r>
      <w:r w:rsidR="002C7DE1">
        <w:t>km</w:t>
      </w:r>
      <w:proofErr w:type="spellEnd"/>
    </w:p>
    <w:p w:rsidR="00A77472" w:rsidRDefault="002C7DE1" w:rsidP="00AC65E9">
      <w:pPr>
        <w:ind w:firstLine="397"/>
        <w:jc w:val="left"/>
      </w:pPr>
      <w:r>
        <w:t xml:space="preserve">Their </w:t>
      </w:r>
      <w:r w:rsidRPr="000F1882">
        <w:t>CO</w:t>
      </w:r>
      <w:r w:rsidRPr="000F1882">
        <w:rPr>
          <w:vertAlign w:val="subscript"/>
        </w:rPr>
        <w:t>2</w:t>
      </w:r>
      <w:r w:rsidRPr="000F1882">
        <w:t xml:space="preserve">-e emissions from air travel </w:t>
      </w:r>
      <w:r>
        <w:t xml:space="preserve">= 37,232 </w:t>
      </w:r>
      <w:r w:rsidR="00816A7B">
        <w:t>x</w:t>
      </w:r>
      <w:r>
        <w:t xml:space="preserve"> </w:t>
      </w:r>
      <w:r w:rsidR="007642C2">
        <w:t>0.0</w:t>
      </w:r>
      <w:r w:rsidR="00D0011B">
        <w:t>725</w:t>
      </w:r>
      <w:r w:rsidR="00175329">
        <w:t xml:space="preserve"> = </w:t>
      </w:r>
      <w:r w:rsidR="00ED1D31">
        <w:t>2</w:t>
      </w:r>
      <w:r w:rsidR="00E25F0D">
        <w:t>,</w:t>
      </w:r>
      <w:r w:rsidR="00ED1D31">
        <w:t>699</w:t>
      </w:r>
      <w:r w:rsidR="007642C2">
        <w:t xml:space="preserve"> </w:t>
      </w:r>
      <w:r w:rsidR="00A77472" w:rsidRPr="000F1882">
        <w:t>kg CO</w:t>
      </w:r>
      <w:r w:rsidR="00A77472" w:rsidRPr="000F1882">
        <w:rPr>
          <w:vertAlign w:val="subscript"/>
        </w:rPr>
        <w:t>2</w:t>
      </w:r>
      <w:r w:rsidR="00A77472" w:rsidRPr="000F1882">
        <w:t>-e</w:t>
      </w:r>
      <w:r w:rsidR="00A77472">
        <w:t xml:space="preserve"> </w:t>
      </w:r>
    </w:p>
    <w:p w:rsidR="00C61854" w:rsidRDefault="00C61854" w:rsidP="00AC65E9">
      <w:pPr>
        <w:ind w:firstLine="397"/>
        <w:jc w:val="left"/>
      </w:pPr>
    </w:p>
    <w:p w:rsidR="00A77472" w:rsidRDefault="00A77472" w:rsidP="00AC65E9">
      <w:pPr>
        <w:ind w:firstLine="397"/>
        <w:jc w:val="left"/>
      </w:pPr>
      <w:r>
        <w:t>For the three people whose travel classes are unknown:</w:t>
      </w:r>
    </w:p>
    <w:p w:rsidR="00593A71" w:rsidRDefault="00C61854" w:rsidP="00AC65E9">
      <w:pPr>
        <w:ind w:firstLine="397"/>
        <w:jc w:val="left"/>
      </w:pPr>
      <w:r>
        <w:t>Person k</w:t>
      </w:r>
      <w:r w:rsidR="00A77472">
        <w:t>ilometr</w:t>
      </w:r>
      <w:r w:rsidR="00593A71">
        <w:t>es trav</w:t>
      </w:r>
      <w:r w:rsidR="00D42804">
        <w:t xml:space="preserve">elled = 3 × 9308 × 2 = 55,848 </w:t>
      </w:r>
      <w:proofErr w:type="spellStart"/>
      <w:r>
        <w:t>pkm</w:t>
      </w:r>
      <w:proofErr w:type="spellEnd"/>
    </w:p>
    <w:p w:rsidR="00D42804" w:rsidRDefault="00593A71" w:rsidP="00AC65E9">
      <w:pPr>
        <w:spacing w:before="120"/>
        <w:ind w:left="397"/>
        <w:jc w:val="left"/>
      </w:pPr>
      <w:r>
        <w:t xml:space="preserve">Their </w:t>
      </w:r>
      <w:r w:rsidRPr="000F1882">
        <w:t>CO</w:t>
      </w:r>
      <w:r w:rsidRPr="000F1882">
        <w:rPr>
          <w:vertAlign w:val="subscript"/>
        </w:rPr>
        <w:t>2</w:t>
      </w:r>
      <w:r w:rsidRPr="000F1882">
        <w:t xml:space="preserve">-e emissions from air travel </w:t>
      </w:r>
      <w:r>
        <w:t>=</w:t>
      </w:r>
      <w:r w:rsidR="0002153B">
        <w:t xml:space="preserve"> </w:t>
      </w:r>
      <w:r w:rsidR="00175329">
        <w:t xml:space="preserve">55,848 </w:t>
      </w:r>
      <w:r w:rsidR="00816A7B">
        <w:t>x</w:t>
      </w:r>
      <w:r w:rsidR="00175329">
        <w:t xml:space="preserve"> </w:t>
      </w:r>
      <w:r w:rsidR="005B7AC4">
        <w:t>0.</w:t>
      </w:r>
      <w:r w:rsidR="00452680">
        <w:t>0946</w:t>
      </w:r>
      <w:r w:rsidR="00175329">
        <w:t xml:space="preserve"> =</w:t>
      </w:r>
      <w:r w:rsidR="00D42804">
        <w:t xml:space="preserve"> </w:t>
      </w:r>
      <w:r w:rsidR="007D1FF3">
        <w:t>5</w:t>
      </w:r>
      <w:r w:rsidR="00E25F0D">
        <w:t>,</w:t>
      </w:r>
      <w:r w:rsidR="007D1FF3">
        <w:t>283</w:t>
      </w:r>
      <w:r w:rsidR="005B7AC4">
        <w:t xml:space="preserve"> </w:t>
      </w:r>
      <w:r w:rsidR="00D42804" w:rsidRPr="000F1882">
        <w:t>kg CO</w:t>
      </w:r>
      <w:r w:rsidR="00D42804" w:rsidRPr="000F1882">
        <w:rPr>
          <w:vertAlign w:val="subscript"/>
        </w:rPr>
        <w:t>2</w:t>
      </w:r>
      <w:r w:rsidR="00D42804" w:rsidRPr="000F1882">
        <w:t>-e</w:t>
      </w:r>
    </w:p>
    <w:p w:rsidR="009E3385" w:rsidRDefault="009E3385" w:rsidP="00B44542">
      <w:pPr>
        <w:spacing w:before="120"/>
        <w:ind w:left="397"/>
      </w:pPr>
      <w:r w:rsidRPr="000F1882">
        <w:t>Total CO</w:t>
      </w:r>
      <w:r w:rsidRPr="000F1882">
        <w:rPr>
          <w:vertAlign w:val="subscript"/>
        </w:rPr>
        <w:t>2</w:t>
      </w:r>
      <w:r w:rsidRPr="000F1882">
        <w:t xml:space="preserve">-e emissions from air travel = </w:t>
      </w:r>
      <w:r w:rsidR="007D1FF3">
        <w:t>2</w:t>
      </w:r>
      <w:r w:rsidR="00E25F0D">
        <w:t>,</w:t>
      </w:r>
      <w:r w:rsidR="007D1FF3">
        <w:t>699</w:t>
      </w:r>
      <w:r w:rsidR="005B7AC4">
        <w:t xml:space="preserve"> </w:t>
      </w:r>
      <w:r w:rsidR="00C61854">
        <w:t xml:space="preserve">+ </w:t>
      </w:r>
      <w:r w:rsidR="007D1FF3">
        <w:t>5</w:t>
      </w:r>
      <w:r w:rsidR="00E25F0D">
        <w:t>,</w:t>
      </w:r>
      <w:r w:rsidR="007D1FF3">
        <w:t>283</w:t>
      </w:r>
      <w:r w:rsidR="005B7AC4" w:rsidRPr="000F1882">
        <w:t xml:space="preserve"> </w:t>
      </w:r>
      <w:r w:rsidRPr="000F1882">
        <w:t xml:space="preserve">= </w:t>
      </w:r>
      <w:r w:rsidR="00E25F0D">
        <w:t>7,982</w:t>
      </w:r>
      <w:r w:rsidR="00D7247F">
        <w:t xml:space="preserve"> </w:t>
      </w:r>
      <w:r w:rsidRPr="000F1882">
        <w:t>kg CO</w:t>
      </w:r>
      <w:r w:rsidRPr="000F1882">
        <w:rPr>
          <w:vertAlign w:val="subscript"/>
        </w:rPr>
        <w:t>2</w:t>
      </w:r>
      <w:r w:rsidRPr="000F1882">
        <w:t>-e</w:t>
      </w:r>
    </w:p>
    <w:p w:rsidR="009E3385" w:rsidRPr="000F1882" w:rsidRDefault="009E3385" w:rsidP="00AC65E9">
      <w:pPr>
        <w:pStyle w:val="Heading3"/>
      </w:pPr>
      <w:bookmarkStart w:id="186" w:name="_Toc185407852"/>
      <w:bookmarkStart w:id="187" w:name="_Toc185408074"/>
      <w:bookmarkStart w:id="188" w:name="_Toc209932999"/>
      <w:bookmarkStart w:id="189" w:name="_Toc210026936"/>
      <w:bookmarkStart w:id="190" w:name="_Toc289083972"/>
      <w:bookmarkStart w:id="191" w:name="_Toc469577182"/>
      <w:r w:rsidRPr="000F1882">
        <w:t>3.3.5</w:t>
      </w:r>
      <w:r w:rsidRPr="000F1882">
        <w:tab/>
        <w:t>Waste to landfill</w:t>
      </w:r>
      <w:bookmarkEnd w:id="186"/>
      <w:bookmarkEnd w:id="187"/>
      <w:bookmarkEnd w:id="188"/>
      <w:bookmarkEnd w:id="189"/>
      <w:bookmarkEnd w:id="190"/>
      <w:bookmarkEnd w:id="191"/>
    </w:p>
    <w:p w:rsidR="009E3385" w:rsidRDefault="009E3385" w:rsidP="00AC65E9">
      <w:pPr>
        <w:jc w:val="left"/>
      </w:pPr>
      <w:r w:rsidRPr="000F1882">
        <w:t xml:space="preserve">The emission factors and methodologies provided </w:t>
      </w:r>
      <w:r w:rsidR="00BD4BC4">
        <w:t>in this section</w:t>
      </w:r>
      <w:r w:rsidR="00BD4BC4" w:rsidRPr="000F1882">
        <w:t xml:space="preserve"> </w:t>
      </w:r>
      <w:r w:rsidRPr="000F1882">
        <w:t xml:space="preserve">will help organisations in estimating their emissions from waste disposed of at a landfill. Emission factors are based on </w:t>
      </w:r>
      <w:r w:rsidRPr="000F1882">
        <w:lastRenderedPageBreak/>
        <w:t xml:space="preserve">figures from </w:t>
      </w:r>
      <w:r w:rsidRPr="000F1882">
        <w:rPr>
          <w:i/>
        </w:rPr>
        <w:t>New Zealand</w:t>
      </w:r>
      <w:r w:rsidR="00EC1311">
        <w:rPr>
          <w:i/>
        </w:rPr>
        <w:t>’</w:t>
      </w:r>
      <w:r w:rsidRPr="000F1882">
        <w:rPr>
          <w:i/>
        </w:rPr>
        <w:t>s Greenhouse Gas Inventory</w:t>
      </w:r>
      <w:r w:rsidR="00E328A2">
        <w:rPr>
          <w:i/>
        </w:rPr>
        <w:t xml:space="preserve"> 1990–201</w:t>
      </w:r>
      <w:r w:rsidR="00BF272A">
        <w:rPr>
          <w:i/>
        </w:rPr>
        <w:t>4</w:t>
      </w:r>
      <w:r w:rsidR="00E328A2">
        <w:rPr>
          <w:i/>
        </w:rPr>
        <w:t xml:space="preserve"> </w:t>
      </w:r>
      <w:r w:rsidR="00CE09FE">
        <w:t xml:space="preserve">(published in </w:t>
      </w:r>
      <w:r w:rsidR="00BF272A">
        <w:t>May</w:t>
      </w:r>
      <w:r w:rsidR="00CE09FE">
        <w:t xml:space="preserve"> 201</w:t>
      </w:r>
      <w:r w:rsidR="00BF272A">
        <w:t>6</w:t>
      </w:r>
      <w:r w:rsidR="00CE09FE">
        <w:t>)</w:t>
      </w:r>
      <w:r w:rsidRPr="000F1882">
        <w:rPr>
          <w:i/>
        </w:rPr>
        <w:t xml:space="preserve"> </w:t>
      </w:r>
      <w:r w:rsidRPr="000F1882">
        <w:t xml:space="preserve">and methodologies are derived from </w:t>
      </w:r>
      <w:r w:rsidR="00BD4BC4">
        <w:t xml:space="preserve">the </w:t>
      </w:r>
      <w:r w:rsidRPr="000F1882">
        <w:t xml:space="preserve">IPCC good practice guidance. The base methodology </w:t>
      </w:r>
      <w:r>
        <w:t>used</w:t>
      </w:r>
      <w:r w:rsidRPr="000F1882">
        <w:t xml:space="preserve"> is termed </w:t>
      </w:r>
      <w:r w:rsidR="00EC1311">
        <w:t>‘</w:t>
      </w:r>
      <w:r w:rsidRPr="000F1882">
        <w:t>tier 1</w:t>
      </w:r>
      <w:r w:rsidR="00EC1311">
        <w:t>’</w:t>
      </w:r>
      <w:r w:rsidRPr="000F1882">
        <w:t xml:space="preserve"> under the IPCC</w:t>
      </w:r>
      <w:r>
        <w:t xml:space="preserve"> </w:t>
      </w:r>
      <w:r w:rsidR="00A154CC">
        <w:t>2006</w:t>
      </w:r>
      <w:r w:rsidRPr="000F1882">
        <w:t xml:space="preserve"> guidelines and </w:t>
      </w:r>
      <w:r>
        <w:t>allows</w:t>
      </w:r>
      <w:r w:rsidRPr="000F1882">
        <w:t xml:space="preserve"> all the potential emissions in a tonne of waste </w:t>
      </w:r>
      <w:r>
        <w:t>to be</w:t>
      </w:r>
      <w:r w:rsidRPr="000F1882">
        <w:t xml:space="preserve"> </w:t>
      </w:r>
      <w:r>
        <w:t>accounted for</w:t>
      </w:r>
      <w:r w:rsidRPr="000F1882">
        <w:t xml:space="preserve"> in the year of disposal.</w:t>
      </w:r>
    </w:p>
    <w:p w:rsidR="00816A7B" w:rsidRPr="000F1882" w:rsidRDefault="00816A7B" w:rsidP="00AC65E9">
      <w:pPr>
        <w:jc w:val="left"/>
      </w:pPr>
    </w:p>
    <w:p w:rsidR="00EC1311" w:rsidRDefault="009E3385" w:rsidP="00AC65E9">
      <w:pPr>
        <w:jc w:val="left"/>
      </w:pPr>
      <w:r w:rsidRPr="000F1882">
        <w:t>Methodologies to determine emissions from wastewater treatment and solid waste incineration are not covered by this guide, as emissions are assumed to be negligible at the individual organisation level (with some exceptions for large industrial wastewater producers).</w:t>
      </w:r>
    </w:p>
    <w:p w:rsidR="009E3385" w:rsidRPr="000F1882" w:rsidRDefault="009E3385" w:rsidP="00AC65E9">
      <w:pPr>
        <w:jc w:val="left"/>
      </w:pPr>
    </w:p>
    <w:p w:rsidR="00EC1311" w:rsidRDefault="009E3385" w:rsidP="00AC65E9">
      <w:pPr>
        <w:jc w:val="left"/>
      </w:pPr>
      <w:r w:rsidRPr="000F1882">
        <w:t>The anaerobic decomposition of organic waste in landfills generates methane (CH</w:t>
      </w:r>
      <w:r w:rsidRPr="000F1882">
        <w:rPr>
          <w:vertAlign w:val="subscript"/>
        </w:rPr>
        <w:t>4</w:t>
      </w:r>
      <w:r w:rsidRPr="000F1882">
        <w:t>). Inventories should be adjusted to account for the landfill gas that is collected and destroyed.</w:t>
      </w:r>
      <w:r w:rsidRPr="00B44542">
        <w:rPr>
          <w:rStyle w:val="FootnoteReference"/>
        </w:rPr>
        <w:footnoteReference w:id="15"/>
      </w:r>
      <w:r w:rsidRPr="000F1882">
        <w:t xml:space="preserve"> The methodologies outlined below provide for such adjustment depending on whether an organisation</w:t>
      </w:r>
      <w:r w:rsidR="00EC1311">
        <w:t>’</w:t>
      </w:r>
      <w:r w:rsidRPr="000F1882">
        <w:t>s waste is sent to a landfill with (or without) a landfill gas collection system.</w:t>
      </w:r>
      <w:r w:rsidR="002628F9">
        <w:t xml:space="preserve"> A list of landfills with landfill gas systems is provided in appendix D</w:t>
      </w:r>
      <w:r w:rsidR="0070065D">
        <w:t xml:space="preserve"> which includes whether or not the collected gas is flared. If the gas is flared then the organisation should use the </w:t>
      </w:r>
      <w:r w:rsidR="00551437">
        <w:t>without gas recovery emission factor.</w:t>
      </w:r>
    </w:p>
    <w:p w:rsidR="00B44542" w:rsidRDefault="00B44542" w:rsidP="00B44542"/>
    <w:p w:rsidR="009E3385" w:rsidRPr="000F1882" w:rsidRDefault="009E3385" w:rsidP="00AC65E9">
      <w:pPr>
        <w:pStyle w:val="Heading4"/>
        <w:jc w:val="left"/>
      </w:pPr>
      <w:bookmarkStart w:id="192" w:name="_Toc185407853"/>
      <w:r w:rsidRPr="000F1882">
        <w:t>Methodologies</w:t>
      </w:r>
      <w:bookmarkEnd w:id="192"/>
    </w:p>
    <w:p w:rsidR="00EC1311" w:rsidRDefault="009E3385" w:rsidP="00AC65E9">
      <w:pPr>
        <w:jc w:val="left"/>
      </w:pPr>
      <w:r w:rsidRPr="000F1882">
        <w:t>Two methodologies for determining a solid waste emission factor are provided. Choice of methodology depends on organisational knowledge of waste composition. It is preferable to know the composition of waste as it allows emissions to be more accurately quantified.</w:t>
      </w:r>
      <w:r w:rsidRPr="00884E29">
        <w:rPr>
          <w:rStyle w:val="FootnoteReference"/>
        </w:rPr>
        <w:footnoteReference w:id="16"/>
      </w:r>
    </w:p>
    <w:p w:rsidR="009E3385" w:rsidRDefault="009E3385" w:rsidP="00AC65E9">
      <w:pPr>
        <w:jc w:val="left"/>
      </w:pPr>
    </w:p>
    <w:p w:rsidR="009E3385" w:rsidRPr="000F1882" w:rsidRDefault="009E3385" w:rsidP="00AC65E9">
      <w:pPr>
        <w:jc w:val="left"/>
      </w:pPr>
      <w:r w:rsidRPr="000F1882">
        <w:t xml:space="preserve">Table </w:t>
      </w:r>
      <w:r w:rsidR="001765B5">
        <w:t>10</w:t>
      </w:r>
      <w:r w:rsidRPr="000F1882">
        <w:t xml:space="preserve"> provides methodologies for four scenarios where composition of an organisation</w:t>
      </w:r>
      <w:r w:rsidR="00EC1311">
        <w:t>’</w:t>
      </w:r>
      <w:r w:rsidRPr="000F1882">
        <w:t>s waste is / is not known, and is sent to a landfill that has / does not have a landfill gas collection system.</w:t>
      </w:r>
    </w:p>
    <w:p w:rsidR="009E3385" w:rsidRPr="000F1882" w:rsidRDefault="009E3385" w:rsidP="00AC65E9">
      <w:pPr>
        <w:jc w:val="left"/>
      </w:pPr>
    </w:p>
    <w:p w:rsidR="009E3385" w:rsidRPr="000F1882" w:rsidRDefault="009E3385" w:rsidP="00AC65E9">
      <w:pPr>
        <w:jc w:val="left"/>
      </w:pPr>
      <w:r w:rsidRPr="000F1882">
        <w:t>If the organisation has data on individual waste streams, but doesn</w:t>
      </w:r>
      <w:r w:rsidR="00EC1311">
        <w:t>’</w:t>
      </w:r>
      <w:r w:rsidRPr="000F1882">
        <w:t xml:space="preserve">t know if the waste is going to a landfill with a gas collection system, then the default should be the factors for </w:t>
      </w:r>
      <w:r w:rsidR="00EC1311">
        <w:t>‘</w:t>
      </w:r>
      <w:r w:rsidRPr="000F1882">
        <w:t>without landfill gas recovery</w:t>
      </w:r>
      <w:r w:rsidR="00EC1311">
        <w:t>’</w:t>
      </w:r>
      <w:r w:rsidRPr="000F1882">
        <w:t xml:space="preserve"> (</w:t>
      </w:r>
      <w:proofErr w:type="spellStart"/>
      <w:r w:rsidRPr="000F1882">
        <w:t>ie</w:t>
      </w:r>
      <w:proofErr w:type="spellEnd"/>
      <w:r w:rsidRPr="000F1882">
        <w:t>, overestimate rather than potentially underestimate</w:t>
      </w:r>
      <w:r w:rsidR="002D37F4">
        <w:t xml:space="preserve"> emissions</w:t>
      </w:r>
      <w:r w:rsidRPr="000F1882">
        <w:t>).</w:t>
      </w:r>
    </w:p>
    <w:p w:rsidR="009E3385" w:rsidRPr="000F1882" w:rsidRDefault="009E3385" w:rsidP="00AC65E9">
      <w:pPr>
        <w:jc w:val="left"/>
      </w:pPr>
    </w:p>
    <w:p w:rsidR="009E3385" w:rsidRPr="000F1882" w:rsidRDefault="009E3385" w:rsidP="00AC65E9">
      <w:pPr>
        <w:jc w:val="left"/>
      </w:pPr>
      <w:r w:rsidRPr="000F1882">
        <w:t xml:space="preserve">If the organisation does not know the composition of its waste but knows it is going to a landfill with a gas recovery system, then it should use the default </w:t>
      </w:r>
      <w:r w:rsidR="00EC1311">
        <w:t>‘</w:t>
      </w:r>
      <w:r w:rsidRPr="000F1882">
        <w:t>mixed waste</w:t>
      </w:r>
      <w:r w:rsidR="00EC1311">
        <w:t>’</w:t>
      </w:r>
      <w:r w:rsidRPr="000F1882">
        <w:t xml:space="preserve"> emission factor found in </w:t>
      </w:r>
      <w:r w:rsidR="00EB1450">
        <w:t>table</w:t>
      </w:r>
      <w:r w:rsidRPr="000F1882">
        <w:t xml:space="preserve"> </w:t>
      </w:r>
      <w:r w:rsidR="001765B5">
        <w:t>10</w:t>
      </w:r>
      <w:r w:rsidRPr="000F1882">
        <w:t xml:space="preserve"> unless it is an office-based organisation.</w:t>
      </w:r>
      <w:r w:rsidRPr="000F1882">
        <w:rPr>
          <w:b/>
        </w:rPr>
        <w:t xml:space="preserve"> </w:t>
      </w:r>
      <w:r w:rsidRPr="000F1882">
        <w:t>Note that this will be an inaccurate emission factor at the organisation level, as it assumes the organisation</w:t>
      </w:r>
      <w:r w:rsidR="00EC1311">
        <w:t>’</w:t>
      </w:r>
      <w:r w:rsidRPr="000F1882">
        <w:t>s waste matches the national average mixed municipal waste composition. If an organisation has an advanced diversion system (to recycling and composting) then this methodology will overestimate emissions. If an organisation has no diversion system, then it could underestimate emissions.</w:t>
      </w:r>
    </w:p>
    <w:p w:rsidR="002C156D" w:rsidRDefault="002C156D" w:rsidP="00884E29"/>
    <w:p w:rsidR="00EC1311" w:rsidRDefault="009E3385" w:rsidP="00300F7D">
      <w:pPr>
        <w:jc w:val="left"/>
      </w:pPr>
      <w:r w:rsidRPr="000F1882">
        <w:t xml:space="preserve">Default emission factors for </w:t>
      </w:r>
      <w:r w:rsidR="00EC1311">
        <w:t>‘</w:t>
      </w:r>
      <w:r w:rsidRPr="000F1882">
        <w:t>office waste</w:t>
      </w:r>
      <w:r w:rsidR="00EC1311">
        <w:t>’</w:t>
      </w:r>
      <w:r w:rsidRPr="000F1882">
        <w:t xml:space="preserve"> are provided in </w:t>
      </w:r>
      <w:r w:rsidR="00EB1450">
        <w:t>table</w:t>
      </w:r>
      <w:r w:rsidRPr="000F1882">
        <w:t xml:space="preserve"> 9. These should be used by office-based organisations that do not have information on the composition of their waste. The higher emission factors reflect the higher proportion of organic matter (</w:t>
      </w:r>
      <w:proofErr w:type="spellStart"/>
      <w:r w:rsidR="00FB063A">
        <w:t>eg</w:t>
      </w:r>
      <w:proofErr w:type="spellEnd"/>
      <w:r w:rsidR="00FB063A">
        <w:t>,</w:t>
      </w:r>
      <w:r w:rsidRPr="000F1882">
        <w:t xml:space="preserve"> paper and food) found in office waste. The default office waste emission factors assume no diversion has occurred so if an organisation has an advanced diversion system then this methodology will overestimate emissions.</w:t>
      </w:r>
    </w:p>
    <w:p w:rsidR="00DA4813" w:rsidRDefault="00DA4813">
      <w:pPr>
        <w:jc w:val="left"/>
        <w:rPr>
          <w:rFonts w:ascii="Arial" w:hAnsi="Arial"/>
          <w:b/>
          <w:sz w:val="20"/>
        </w:rPr>
      </w:pPr>
      <w:bookmarkStart w:id="193" w:name="_Ref208389448"/>
      <w:bookmarkStart w:id="194" w:name="_Toc210024155"/>
      <w:bookmarkStart w:id="195" w:name="_Toc289084090"/>
      <w:r>
        <w:br w:type="page"/>
      </w:r>
    </w:p>
    <w:p w:rsidR="00B406EB" w:rsidRDefault="009E3385" w:rsidP="00F24A4B">
      <w:pPr>
        <w:pStyle w:val="Table"/>
        <w:spacing w:before="240"/>
      </w:pPr>
      <w:bookmarkStart w:id="196" w:name="_Toc469577148"/>
      <w:r w:rsidRPr="000F1882">
        <w:lastRenderedPageBreak/>
        <w:t xml:space="preserve">Table </w:t>
      </w:r>
      <w:r w:rsidR="004117B6">
        <w:t>10</w:t>
      </w:r>
      <w:bookmarkEnd w:id="193"/>
      <w:r w:rsidRPr="000F1882">
        <w:t>:</w:t>
      </w:r>
      <w:r w:rsidRPr="000F1882">
        <w:tab/>
        <w:t>Emission factors for waste to landfill</w:t>
      </w:r>
      <w:bookmarkEnd w:id="194"/>
      <w:bookmarkEnd w:id="195"/>
      <w:bookmarkEnd w:id="196"/>
    </w:p>
    <w:tbl>
      <w:tblPr>
        <w:tblW w:w="6673" w:type="dxa"/>
        <w:tblInd w:w="98" w:type="dxa"/>
        <w:tblLook w:val="04A0" w:firstRow="1" w:lastRow="0" w:firstColumn="1" w:lastColumn="0" w:noHBand="0" w:noVBand="1"/>
      </w:tblPr>
      <w:tblGrid>
        <w:gridCol w:w="3412"/>
        <w:gridCol w:w="1560"/>
        <w:gridCol w:w="1701"/>
      </w:tblGrid>
      <w:tr w:rsidR="00EE7B6B" w:rsidRPr="00B406EB" w:rsidTr="00B358BE">
        <w:trPr>
          <w:trHeight w:val="636"/>
        </w:trPr>
        <w:tc>
          <w:tcPr>
            <w:tcW w:w="3412" w:type="dxa"/>
            <w:vMerge w:val="restart"/>
            <w:tcBorders>
              <w:top w:val="single" w:sz="8" w:space="0" w:color="auto"/>
              <w:left w:val="single" w:sz="8" w:space="0" w:color="auto"/>
              <w:bottom w:val="single" w:sz="8" w:space="0" w:color="000000"/>
              <w:right w:val="single" w:sz="8" w:space="0" w:color="auto"/>
            </w:tcBorders>
            <w:shd w:val="clear" w:color="000000" w:fill="D9D9D9"/>
            <w:vAlign w:val="bottom"/>
            <w:hideMark/>
          </w:tcPr>
          <w:p w:rsidR="00EE7B6B" w:rsidRPr="00B406EB" w:rsidRDefault="00EE7B6B" w:rsidP="00E346A4">
            <w:pPr>
              <w:spacing w:before="60" w:after="60"/>
              <w:jc w:val="left"/>
              <w:rPr>
                <w:rFonts w:ascii="Arial" w:hAnsi="Arial" w:cs="Arial"/>
                <w:b/>
                <w:bCs/>
                <w:sz w:val="16"/>
                <w:szCs w:val="16"/>
                <w:lang w:eastAsia="en-NZ"/>
              </w:rPr>
            </w:pPr>
            <w:r w:rsidRPr="00B406EB">
              <w:rPr>
                <w:rFonts w:ascii="Arial" w:hAnsi="Arial" w:cs="Arial"/>
                <w:b/>
                <w:bCs/>
                <w:sz w:val="16"/>
                <w:szCs w:val="16"/>
                <w:lang w:eastAsia="en-GB"/>
              </w:rPr>
              <w:t>Emission source</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D9D9D9"/>
            <w:vAlign w:val="bottom"/>
            <w:hideMark/>
          </w:tcPr>
          <w:p w:rsidR="00EE7B6B" w:rsidRPr="00B406EB" w:rsidRDefault="00EE7B6B" w:rsidP="00E346A4">
            <w:pPr>
              <w:spacing w:before="60" w:after="60"/>
              <w:jc w:val="left"/>
              <w:rPr>
                <w:rFonts w:ascii="Arial" w:hAnsi="Arial" w:cs="Arial"/>
                <w:b/>
                <w:bCs/>
                <w:sz w:val="16"/>
                <w:szCs w:val="16"/>
                <w:lang w:eastAsia="en-NZ"/>
              </w:rPr>
            </w:pPr>
            <w:r w:rsidRPr="00B406EB">
              <w:rPr>
                <w:rFonts w:ascii="Arial" w:hAnsi="Arial" w:cs="Arial"/>
                <w:b/>
                <w:bCs/>
                <w:sz w:val="16"/>
                <w:szCs w:val="16"/>
                <w:lang w:eastAsia="en-GB"/>
              </w:rPr>
              <w:t>Unit</w:t>
            </w:r>
          </w:p>
        </w:tc>
        <w:tc>
          <w:tcPr>
            <w:tcW w:w="1701" w:type="dxa"/>
            <w:tcBorders>
              <w:top w:val="single" w:sz="8" w:space="0" w:color="auto"/>
              <w:left w:val="nil"/>
              <w:bottom w:val="nil"/>
              <w:right w:val="single" w:sz="8" w:space="0" w:color="auto"/>
            </w:tcBorders>
            <w:shd w:val="clear" w:color="000000" w:fill="D9D9D9"/>
            <w:vAlign w:val="bottom"/>
            <w:hideMark/>
          </w:tcPr>
          <w:p w:rsidR="00EE7B6B" w:rsidRPr="00B406EB" w:rsidRDefault="00EE7B6B" w:rsidP="00E346A4">
            <w:pPr>
              <w:spacing w:before="60" w:after="60"/>
              <w:jc w:val="left"/>
              <w:rPr>
                <w:rFonts w:ascii="Arial" w:hAnsi="Arial" w:cs="Arial"/>
                <w:b/>
                <w:bCs/>
                <w:sz w:val="16"/>
                <w:szCs w:val="16"/>
                <w:lang w:eastAsia="en-NZ"/>
              </w:rPr>
            </w:pPr>
            <w:r w:rsidRPr="00B406EB">
              <w:rPr>
                <w:rFonts w:ascii="Arial" w:hAnsi="Arial" w:cs="Arial"/>
                <w:b/>
                <w:bCs/>
                <w:sz w:val="16"/>
                <w:szCs w:val="16"/>
                <w:lang w:eastAsia="en-NZ"/>
              </w:rPr>
              <w:t>Emission factor total CO</w:t>
            </w:r>
            <w:r w:rsidRPr="00B406EB">
              <w:rPr>
                <w:rFonts w:ascii="Arial" w:hAnsi="Arial" w:cs="Arial"/>
                <w:b/>
                <w:bCs/>
                <w:sz w:val="16"/>
                <w:szCs w:val="16"/>
                <w:vertAlign w:val="subscript"/>
                <w:lang w:eastAsia="en-NZ"/>
              </w:rPr>
              <w:t>2</w:t>
            </w:r>
            <w:r w:rsidRPr="00B406EB">
              <w:rPr>
                <w:rFonts w:ascii="Arial" w:hAnsi="Arial" w:cs="Arial"/>
                <w:b/>
                <w:bCs/>
                <w:sz w:val="16"/>
                <w:szCs w:val="16"/>
                <w:lang w:eastAsia="en-NZ"/>
              </w:rPr>
              <w:t>-e</w:t>
            </w:r>
          </w:p>
        </w:tc>
      </w:tr>
      <w:tr w:rsidR="00EE7B6B" w:rsidRPr="00B406EB" w:rsidTr="00B358BE">
        <w:trPr>
          <w:trHeight w:val="165"/>
        </w:trPr>
        <w:tc>
          <w:tcPr>
            <w:tcW w:w="3412" w:type="dxa"/>
            <w:vMerge/>
            <w:tcBorders>
              <w:top w:val="single" w:sz="8" w:space="0" w:color="auto"/>
              <w:left w:val="single" w:sz="8" w:space="0" w:color="auto"/>
              <w:bottom w:val="single" w:sz="8" w:space="0" w:color="000000"/>
              <w:right w:val="single" w:sz="8" w:space="0" w:color="auto"/>
            </w:tcBorders>
            <w:vAlign w:val="center"/>
            <w:hideMark/>
          </w:tcPr>
          <w:p w:rsidR="00EE7B6B" w:rsidRPr="00B406EB" w:rsidRDefault="00EE7B6B" w:rsidP="00E346A4">
            <w:pPr>
              <w:spacing w:before="60" w:after="60"/>
              <w:jc w:val="left"/>
              <w:rPr>
                <w:rFonts w:ascii="Arial" w:hAnsi="Arial" w:cs="Arial"/>
                <w:b/>
                <w:bCs/>
                <w:sz w:val="16"/>
                <w:szCs w:val="16"/>
                <w:lang w:eastAsia="en-NZ"/>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rsidR="00EE7B6B" w:rsidRPr="00B406EB" w:rsidRDefault="00EE7B6B" w:rsidP="00E346A4">
            <w:pPr>
              <w:spacing w:before="60" w:after="60"/>
              <w:jc w:val="left"/>
              <w:rPr>
                <w:rFonts w:ascii="Arial" w:hAnsi="Arial" w:cs="Arial"/>
                <w:b/>
                <w:bCs/>
                <w:sz w:val="16"/>
                <w:szCs w:val="16"/>
                <w:lang w:eastAsia="en-NZ"/>
              </w:rPr>
            </w:pPr>
          </w:p>
        </w:tc>
        <w:tc>
          <w:tcPr>
            <w:tcW w:w="1701" w:type="dxa"/>
            <w:tcBorders>
              <w:top w:val="nil"/>
              <w:left w:val="nil"/>
              <w:bottom w:val="single" w:sz="8" w:space="0" w:color="auto"/>
              <w:right w:val="single" w:sz="8" w:space="0" w:color="auto"/>
            </w:tcBorders>
            <w:shd w:val="clear" w:color="000000" w:fill="D9D9D9"/>
            <w:vAlign w:val="bottom"/>
            <w:hideMark/>
          </w:tcPr>
          <w:p w:rsidR="00EE7B6B" w:rsidRPr="00B406EB" w:rsidRDefault="00EE7B6B" w:rsidP="00E346A4">
            <w:pPr>
              <w:spacing w:before="60" w:after="60"/>
              <w:jc w:val="left"/>
              <w:rPr>
                <w:rFonts w:ascii="Arial" w:hAnsi="Arial" w:cs="Arial"/>
                <w:b/>
                <w:bCs/>
                <w:sz w:val="16"/>
                <w:szCs w:val="16"/>
                <w:lang w:eastAsia="en-NZ"/>
              </w:rPr>
            </w:pPr>
            <w:r w:rsidRPr="00B406EB">
              <w:rPr>
                <w:rFonts w:ascii="Arial" w:hAnsi="Arial" w:cs="Arial"/>
                <w:b/>
                <w:bCs/>
                <w:sz w:val="16"/>
                <w:szCs w:val="16"/>
                <w:lang w:eastAsia="en-GB"/>
              </w:rPr>
              <w:t>(Kg CO</w:t>
            </w:r>
            <w:r w:rsidRPr="00B406EB">
              <w:rPr>
                <w:rFonts w:ascii="Arial" w:hAnsi="Arial" w:cs="Arial"/>
                <w:b/>
                <w:bCs/>
                <w:sz w:val="16"/>
                <w:szCs w:val="16"/>
                <w:vertAlign w:val="subscript"/>
                <w:lang w:eastAsia="en-GB"/>
              </w:rPr>
              <w:t>2</w:t>
            </w:r>
            <w:r w:rsidRPr="00B406EB">
              <w:rPr>
                <w:rFonts w:ascii="Arial" w:hAnsi="Arial" w:cs="Arial"/>
                <w:b/>
                <w:bCs/>
                <w:sz w:val="16"/>
                <w:szCs w:val="16"/>
                <w:lang w:eastAsia="en-GB"/>
              </w:rPr>
              <w:t>-e/unit)</w:t>
            </w:r>
          </w:p>
        </w:tc>
      </w:tr>
      <w:tr w:rsidR="00EE7B6B" w:rsidRPr="00B406EB" w:rsidTr="00B358BE">
        <w:trPr>
          <w:trHeight w:val="276"/>
        </w:trPr>
        <w:tc>
          <w:tcPr>
            <w:tcW w:w="6673" w:type="dxa"/>
            <w:gridSpan w:val="3"/>
            <w:tcBorders>
              <w:top w:val="single" w:sz="8" w:space="0" w:color="auto"/>
              <w:left w:val="single" w:sz="8" w:space="0" w:color="auto"/>
              <w:bottom w:val="single" w:sz="8" w:space="0" w:color="auto"/>
              <w:right w:val="single" w:sz="8" w:space="0" w:color="000000"/>
            </w:tcBorders>
            <w:shd w:val="clear" w:color="auto" w:fill="auto"/>
            <w:hideMark/>
          </w:tcPr>
          <w:p w:rsidR="00EE7B6B" w:rsidRPr="00B406EB" w:rsidRDefault="00EE7B6B" w:rsidP="00E346A4">
            <w:pPr>
              <w:spacing w:before="60" w:after="60"/>
              <w:jc w:val="left"/>
              <w:rPr>
                <w:rFonts w:ascii="Arial" w:hAnsi="Arial" w:cs="Arial"/>
                <w:b/>
                <w:bCs/>
                <w:sz w:val="16"/>
                <w:szCs w:val="16"/>
                <w:lang w:eastAsia="en-NZ"/>
              </w:rPr>
            </w:pPr>
            <w:r w:rsidRPr="00B406EB">
              <w:rPr>
                <w:rFonts w:ascii="Arial" w:hAnsi="Arial" w:cs="Arial"/>
                <w:b/>
                <w:bCs/>
                <w:sz w:val="16"/>
                <w:szCs w:val="16"/>
                <w:lang w:eastAsia="en-GB"/>
              </w:rPr>
              <w:t>Landfilled waste of known composition (without landfill gas recovery)</w:t>
            </w:r>
          </w:p>
        </w:tc>
      </w:tr>
      <w:tr w:rsidR="00CC6F2A" w:rsidRPr="00B406EB" w:rsidTr="00285D6C">
        <w:trPr>
          <w:trHeight w:val="244"/>
        </w:trPr>
        <w:tc>
          <w:tcPr>
            <w:tcW w:w="3412" w:type="dxa"/>
            <w:tcBorders>
              <w:top w:val="nil"/>
              <w:left w:val="single" w:sz="8" w:space="0" w:color="auto"/>
              <w:bottom w:val="single" w:sz="8" w:space="0" w:color="auto"/>
              <w:right w:val="single" w:sz="8" w:space="0" w:color="auto"/>
            </w:tcBorders>
            <w:shd w:val="clear" w:color="auto" w:fill="auto"/>
            <w:hideMark/>
          </w:tcPr>
          <w:p w:rsidR="00CC6F2A" w:rsidRPr="00B406EB" w:rsidRDefault="00CC6F2A" w:rsidP="00E346A4">
            <w:pPr>
              <w:spacing w:before="60" w:after="60"/>
              <w:jc w:val="left"/>
              <w:rPr>
                <w:rFonts w:ascii="Arial" w:hAnsi="Arial" w:cs="Arial"/>
                <w:sz w:val="16"/>
                <w:szCs w:val="16"/>
                <w:lang w:eastAsia="en-NZ"/>
              </w:rPr>
            </w:pPr>
            <w:r w:rsidRPr="00B406EB">
              <w:rPr>
                <w:rFonts w:ascii="Arial" w:hAnsi="Arial" w:cs="Arial"/>
                <w:sz w:val="16"/>
                <w:szCs w:val="16"/>
                <w:lang w:eastAsia="en-GB"/>
              </w:rPr>
              <w:t>Paper and textiles</w:t>
            </w:r>
          </w:p>
        </w:tc>
        <w:tc>
          <w:tcPr>
            <w:tcW w:w="1560" w:type="dxa"/>
            <w:tcBorders>
              <w:top w:val="nil"/>
              <w:left w:val="nil"/>
              <w:bottom w:val="single" w:sz="8" w:space="0" w:color="auto"/>
              <w:right w:val="single" w:sz="8" w:space="0" w:color="auto"/>
            </w:tcBorders>
            <w:shd w:val="clear" w:color="auto" w:fill="auto"/>
            <w:hideMark/>
          </w:tcPr>
          <w:p w:rsidR="00CC6F2A" w:rsidRPr="00B406EB" w:rsidRDefault="00CC6F2A" w:rsidP="00E346A4">
            <w:pPr>
              <w:spacing w:before="60" w:after="60"/>
              <w:jc w:val="left"/>
              <w:rPr>
                <w:rFonts w:ascii="Arial" w:hAnsi="Arial" w:cs="Arial"/>
                <w:sz w:val="16"/>
                <w:szCs w:val="16"/>
                <w:lang w:eastAsia="en-NZ"/>
              </w:rPr>
            </w:pPr>
            <w:r w:rsidRPr="00B406EB">
              <w:rPr>
                <w:rFonts w:ascii="Arial" w:hAnsi="Arial" w:cs="Arial"/>
                <w:sz w:val="16"/>
                <w:szCs w:val="16"/>
                <w:lang w:eastAsia="en-GB"/>
              </w:rPr>
              <w:t>kg</w:t>
            </w:r>
          </w:p>
        </w:tc>
        <w:tc>
          <w:tcPr>
            <w:tcW w:w="1701" w:type="dxa"/>
            <w:tcBorders>
              <w:top w:val="nil"/>
              <w:left w:val="nil"/>
              <w:bottom w:val="single" w:sz="8" w:space="0" w:color="auto"/>
              <w:right w:val="single" w:sz="8" w:space="0" w:color="auto"/>
            </w:tcBorders>
            <w:shd w:val="clear" w:color="auto" w:fill="auto"/>
            <w:noWrap/>
            <w:vAlign w:val="bottom"/>
            <w:hideMark/>
          </w:tcPr>
          <w:p w:rsidR="00CC6F2A" w:rsidRPr="00CC6F2A" w:rsidRDefault="00CC6F2A" w:rsidP="00E346A4">
            <w:pPr>
              <w:spacing w:before="60" w:after="60"/>
              <w:jc w:val="right"/>
              <w:rPr>
                <w:rFonts w:ascii="Arial" w:hAnsi="Arial" w:cs="Arial"/>
                <w:sz w:val="16"/>
                <w:szCs w:val="16"/>
                <w:lang w:eastAsia="en-NZ"/>
              </w:rPr>
            </w:pPr>
            <w:r w:rsidRPr="00285D6C">
              <w:rPr>
                <w:rFonts w:ascii="Arial" w:hAnsi="Arial" w:cs="Arial"/>
                <w:sz w:val="16"/>
                <w:szCs w:val="16"/>
              </w:rPr>
              <w:t>3.00</w:t>
            </w:r>
          </w:p>
        </w:tc>
      </w:tr>
      <w:tr w:rsidR="00CC6F2A" w:rsidRPr="00B406EB" w:rsidTr="00285D6C">
        <w:trPr>
          <w:trHeight w:val="262"/>
        </w:trPr>
        <w:tc>
          <w:tcPr>
            <w:tcW w:w="3412" w:type="dxa"/>
            <w:tcBorders>
              <w:top w:val="nil"/>
              <w:left w:val="single" w:sz="8" w:space="0" w:color="auto"/>
              <w:bottom w:val="single" w:sz="8" w:space="0" w:color="auto"/>
              <w:right w:val="single" w:sz="8" w:space="0" w:color="auto"/>
            </w:tcBorders>
            <w:shd w:val="clear" w:color="auto" w:fill="auto"/>
            <w:hideMark/>
          </w:tcPr>
          <w:p w:rsidR="00CC6F2A" w:rsidRPr="00B406EB" w:rsidRDefault="00CC6F2A" w:rsidP="00E346A4">
            <w:pPr>
              <w:spacing w:before="60" w:after="60"/>
              <w:jc w:val="left"/>
              <w:rPr>
                <w:rFonts w:ascii="Arial" w:hAnsi="Arial" w:cs="Arial"/>
                <w:sz w:val="16"/>
                <w:szCs w:val="16"/>
                <w:lang w:eastAsia="en-NZ"/>
              </w:rPr>
            </w:pPr>
            <w:r w:rsidRPr="00B406EB">
              <w:rPr>
                <w:rFonts w:ascii="Arial" w:hAnsi="Arial" w:cs="Arial"/>
                <w:sz w:val="16"/>
                <w:szCs w:val="16"/>
                <w:lang w:eastAsia="en-GB"/>
              </w:rPr>
              <w:t>Garden and food</w:t>
            </w:r>
          </w:p>
        </w:tc>
        <w:tc>
          <w:tcPr>
            <w:tcW w:w="1560" w:type="dxa"/>
            <w:tcBorders>
              <w:top w:val="nil"/>
              <w:left w:val="nil"/>
              <w:bottom w:val="single" w:sz="8" w:space="0" w:color="auto"/>
              <w:right w:val="single" w:sz="8" w:space="0" w:color="auto"/>
            </w:tcBorders>
            <w:shd w:val="clear" w:color="auto" w:fill="auto"/>
            <w:hideMark/>
          </w:tcPr>
          <w:p w:rsidR="00CC6F2A" w:rsidRPr="00B406EB" w:rsidRDefault="00CC6F2A" w:rsidP="00E346A4">
            <w:pPr>
              <w:spacing w:before="60" w:after="60"/>
              <w:jc w:val="left"/>
              <w:rPr>
                <w:rFonts w:ascii="Arial" w:hAnsi="Arial" w:cs="Arial"/>
                <w:sz w:val="16"/>
                <w:szCs w:val="16"/>
                <w:lang w:eastAsia="en-NZ"/>
              </w:rPr>
            </w:pPr>
            <w:r w:rsidRPr="00B406EB">
              <w:rPr>
                <w:rFonts w:ascii="Arial" w:hAnsi="Arial" w:cs="Arial"/>
                <w:sz w:val="16"/>
                <w:szCs w:val="16"/>
                <w:lang w:eastAsia="en-GB"/>
              </w:rPr>
              <w:t>kg</w:t>
            </w:r>
          </w:p>
        </w:tc>
        <w:tc>
          <w:tcPr>
            <w:tcW w:w="1701" w:type="dxa"/>
            <w:tcBorders>
              <w:top w:val="nil"/>
              <w:left w:val="nil"/>
              <w:bottom w:val="single" w:sz="8" w:space="0" w:color="auto"/>
              <w:right w:val="single" w:sz="8" w:space="0" w:color="auto"/>
            </w:tcBorders>
            <w:shd w:val="clear" w:color="auto" w:fill="auto"/>
            <w:noWrap/>
            <w:vAlign w:val="bottom"/>
            <w:hideMark/>
          </w:tcPr>
          <w:p w:rsidR="00CC6F2A" w:rsidRPr="00CC6F2A" w:rsidRDefault="00341C00" w:rsidP="00E346A4">
            <w:pPr>
              <w:spacing w:before="60" w:after="60"/>
              <w:jc w:val="right"/>
              <w:rPr>
                <w:rFonts w:ascii="Arial" w:hAnsi="Arial" w:cs="Arial"/>
                <w:sz w:val="16"/>
                <w:szCs w:val="16"/>
                <w:lang w:eastAsia="en-NZ"/>
              </w:rPr>
            </w:pPr>
            <w:r>
              <w:rPr>
                <w:rFonts w:ascii="Arial" w:hAnsi="Arial" w:cs="Arial"/>
                <w:sz w:val="16"/>
                <w:szCs w:val="16"/>
              </w:rPr>
              <w:t>1.13</w:t>
            </w:r>
          </w:p>
        </w:tc>
      </w:tr>
      <w:tr w:rsidR="00CC6F2A" w:rsidRPr="00B406EB" w:rsidTr="00285D6C">
        <w:trPr>
          <w:trHeight w:val="276"/>
        </w:trPr>
        <w:tc>
          <w:tcPr>
            <w:tcW w:w="3412" w:type="dxa"/>
            <w:tcBorders>
              <w:top w:val="nil"/>
              <w:left w:val="single" w:sz="8" w:space="0" w:color="auto"/>
              <w:bottom w:val="single" w:sz="8" w:space="0" w:color="auto"/>
              <w:right w:val="single" w:sz="8" w:space="0" w:color="auto"/>
            </w:tcBorders>
            <w:shd w:val="clear" w:color="auto" w:fill="auto"/>
            <w:hideMark/>
          </w:tcPr>
          <w:p w:rsidR="00CC6F2A" w:rsidRPr="00B406EB" w:rsidRDefault="00CC6F2A" w:rsidP="00E346A4">
            <w:pPr>
              <w:spacing w:before="60" w:after="60"/>
              <w:jc w:val="left"/>
              <w:rPr>
                <w:rFonts w:ascii="Arial" w:hAnsi="Arial" w:cs="Arial"/>
                <w:sz w:val="16"/>
                <w:szCs w:val="16"/>
                <w:lang w:eastAsia="en-NZ"/>
              </w:rPr>
            </w:pPr>
            <w:r w:rsidRPr="00B406EB">
              <w:rPr>
                <w:rFonts w:ascii="Arial" w:hAnsi="Arial" w:cs="Arial"/>
                <w:sz w:val="16"/>
                <w:szCs w:val="16"/>
                <w:lang w:eastAsia="en-GB"/>
              </w:rPr>
              <w:t>Wood</w:t>
            </w:r>
          </w:p>
        </w:tc>
        <w:tc>
          <w:tcPr>
            <w:tcW w:w="1560" w:type="dxa"/>
            <w:tcBorders>
              <w:top w:val="nil"/>
              <w:left w:val="nil"/>
              <w:bottom w:val="single" w:sz="8" w:space="0" w:color="auto"/>
              <w:right w:val="single" w:sz="8" w:space="0" w:color="auto"/>
            </w:tcBorders>
            <w:shd w:val="clear" w:color="auto" w:fill="auto"/>
            <w:hideMark/>
          </w:tcPr>
          <w:p w:rsidR="00CC6F2A" w:rsidRPr="00B406EB" w:rsidRDefault="00CC6F2A" w:rsidP="00E346A4">
            <w:pPr>
              <w:spacing w:before="60" w:after="60"/>
              <w:jc w:val="left"/>
              <w:rPr>
                <w:rFonts w:ascii="Arial" w:hAnsi="Arial" w:cs="Arial"/>
                <w:sz w:val="16"/>
                <w:szCs w:val="16"/>
                <w:lang w:eastAsia="en-NZ"/>
              </w:rPr>
            </w:pPr>
            <w:r w:rsidRPr="00B406EB">
              <w:rPr>
                <w:rFonts w:ascii="Arial" w:hAnsi="Arial" w:cs="Arial"/>
                <w:sz w:val="16"/>
                <w:szCs w:val="16"/>
                <w:lang w:eastAsia="en-GB"/>
              </w:rPr>
              <w:t>kg</w:t>
            </w:r>
          </w:p>
        </w:tc>
        <w:tc>
          <w:tcPr>
            <w:tcW w:w="1701" w:type="dxa"/>
            <w:tcBorders>
              <w:top w:val="nil"/>
              <w:left w:val="nil"/>
              <w:bottom w:val="single" w:sz="8" w:space="0" w:color="auto"/>
              <w:right w:val="single" w:sz="8" w:space="0" w:color="auto"/>
            </w:tcBorders>
            <w:shd w:val="clear" w:color="auto" w:fill="auto"/>
            <w:noWrap/>
            <w:vAlign w:val="bottom"/>
            <w:hideMark/>
          </w:tcPr>
          <w:p w:rsidR="00CC6F2A" w:rsidRPr="00CC6F2A" w:rsidRDefault="00F020A1" w:rsidP="00E346A4">
            <w:pPr>
              <w:spacing w:before="60" w:after="60"/>
              <w:jc w:val="right"/>
              <w:rPr>
                <w:rFonts w:ascii="Arial" w:hAnsi="Arial" w:cs="Arial"/>
                <w:sz w:val="16"/>
                <w:szCs w:val="16"/>
                <w:lang w:eastAsia="en-NZ"/>
              </w:rPr>
            </w:pPr>
            <w:r>
              <w:rPr>
                <w:rFonts w:ascii="Arial" w:hAnsi="Arial" w:cs="Arial"/>
                <w:sz w:val="16"/>
                <w:szCs w:val="16"/>
              </w:rPr>
              <w:t>3.23</w:t>
            </w:r>
          </w:p>
        </w:tc>
      </w:tr>
      <w:tr w:rsidR="00CC6F2A" w:rsidRPr="00B406EB" w:rsidTr="00B358BE">
        <w:trPr>
          <w:trHeight w:val="276"/>
        </w:trPr>
        <w:tc>
          <w:tcPr>
            <w:tcW w:w="6673" w:type="dxa"/>
            <w:gridSpan w:val="3"/>
            <w:tcBorders>
              <w:top w:val="single" w:sz="8" w:space="0" w:color="auto"/>
              <w:left w:val="single" w:sz="8" w:space="0" w:color="auto"/>
              <w:bottom w:val="single" w:sz="8" w:space="0" w:color="auto"/>
              <w:right w:val="single" w:sz="8" w:space="0" w:color="000000"/>
            </w:tcBorders>
            <w:shd w:val="clear" w:color="auto" w:fill="auto"/>
            <w:hideMark/>
          </w:tcPr>
          <w:p w:rsidR="00CC6F2A" w:rsidRPr="00B406EB" w:rsidRDefault="00CC6F2A" w:rsidP="00E346A4">
            <w:pPr>
              <w:spacing w:before="60" w:after="60"/>
              <w:jc w:val="left"/>
              <w:rPr>
                <w:rFonts w:ascii="Arial" w:hAnsi="Arial" w:cs="Arial"/>
                <w:b/>
                <w:bCs/>
                <w:sz w:val="16"/>
                <w:szCs w:val="16"/>
                <w:lang w:eastAsia="en-NZ"/>
              </w:rPr>
            </w:pPr>
            <w:r w:rsidRPr="00B406EB">
              <w:rPr>
                <w:rFonts w:ascii="Arial" w:hAnsi="Arial" w:cs="Arial"/>
                <w:b/>
                <w:bCs/>
                <w:sz w:val="16"/>
                <w:szCs w:val="16"/>
                <w:lang w:eastAsia="en-GB"/>
              </w:rPr>
              <w:t>Landfilled waste of known composition (with landfill gas recovery)</w:t>
            </w:r>
          </w:p>
        </w:tc>
      </w:tr>
      <w:tr w:rsidR="00A154CC" w:rsidRPr="00B406EB" w:rsidTr="00285D6C">
        <w:trPr>
          <w:trHeight w:val="231"/>
        </w:trPr>
        <w:tc>
          <w:tcPr>
            <w:tcW w:w="3412" w:type="dxa"/>
            <w:tcBorders>
              <w:top w:val="nil"/>
              <w:left w:val="single" w:sz="8" w:space="0" w:color="auto"/>
              <w:bottom w:val="single" w:sz="8" w:space="0" w:color="auto"/>
              <w:right w:val="single" w:sz="8" w:space="0" w:color="auto"/>
            </w:tcBorders>
            <w:shd w:val="clear" w:color="auto" w:fill="auto"/>
            <w:hideMark/>
          </w:tcPr>
          <w:p w:rsidR="00A154CC" w:rsidRPr="00B406EB" w:rsidRDefault="00A154CC" w:rsidP="00E346A4">
            <w:pPr>
              <w:spacing w:before="60" w:after="60"/>
              <w:jc w:val="left"/>
              <w:rPr>
                <w:rFonts w:ascii="Arial" w:hAnsi="Arial" w:cs="Arial"/>
                <w:sz w:val="16"/>
                <w:szCs w:val="16"/>
                <w:lang w:eastAsia="en-NZ"/>
              </w:rPr>
            </w:pPr>
            <w:r w:rsidRPr="00B406EB">
              <w:rPr>
                <w:rFonts w:ascii="Arial" w:hAnsi="Arial" w:cs="Arial"/>
                <w:sz w:val="16"/>
                <w:szCs w:val="16"/>
                <w:lang w:eastAsia="en-NZ"/>
              </w:rPr>
              <w:t>Paper and textiles</w:t>
            </w:r>
          </w:p>
        </w:tc>
        <w:tc>
          <w:tcPr>
            <w:tcW w:w="1560" w:type="dxa"/>
            <w:tcBorders>
              <w:top w:val="nil"/>
              <w:left w:val="nil"/>
              <w:bottom w:val="single" w:sz="8" w:space="0" w:color="auto"/>
              <w:right w:val="single" w:sz="8" w:space="0" w:color="auto"/>
            </w:tcBorders>
            <w:shd w:val="clear" w:color="auto" w:fill="auto"/>
            <w:hideMark/>
          </w:tcPr>
          <w:p w:rsidR="00A154CC" w:rsidRPr="00B406EB" w:rsidRDefault="00A154CC" w:rsidP="00E346A4">
            <w:pPr>
              <w:spacing w:before="60" w:after="60"/>
              <w:jc w:val="left"/>
              <w:rPr>
                <w:rFonts w:ascii="Arial" w:hAnsi="Arial" w:cs="Arial"/>
                <w:sz w:val="16"/>
                <w:szCs w:val="16"/>
                <w:lang w:eastAsia="en-NZ"/>
              </w:rPr>
            </w:pPr>
            <w:r w:rsidRPr="00B406EB">
              <w:rPr>
                <w:rFonts w:ascii="Arial" w:hAnsi="Arial" w:cs="Arial"/>
                <w:sz w:val="16"/>
                <w:szCs w:val="16"/>
                <w:lang w:eastAsia="en-NZ"/>
              </w:rPr>
              <w:t>kg</w:t>
            </w:r>
          </w:p>
        </w:tc>
        <w:tc>
          <w:tcPr>
            <w:tcW w:w="1701" w:type="dxa"/>
            <w:tcBorders>
              <w:top w:val="nil"/>
              <w:left w:val="nil"/>
              <w:bottom w:val="single" w:sz="8" w:space="0" w:color="auto"/>
              <w:right w:val="single" w:sz="8" w:space="0" w:color="auto"/>
            </w:tcBorders>
            <w:shd w:val="clear" w:color="auto" w:fill="auto"/>
            <w:noWrap/>
            <w:vAlign w:val="bottom"/>
            <w:hideMark/>
          </w:tcPr>
          <w:p w:rsidR="00A154CC" w:rsidRPr="00673741" w:rsidRDefault="00A154CC" w:rsidP="00E346A4">
            <w:pPr>
              <w:spacing w:before="60" w:after="60"/>
              <w:jc w:val="right"/>
              <w:rPr>
                <w:rFonts w:ascii="Arial" w:hAnsi="Arial" w:cs="Arial"/>
                <w:sz w:val="16"/>
                <w:szCs w:val="16"/>
                <w:lang w:eastAsia="en-NZ"/>
              </w:rPr>
            </w:pPr>
            <w:r w:rsidRPr="001547B7">
              <w:rPr>
                <w:rFonts w:ascii="Arial" w:hAnsi="Arial" w:cs="Arial"/>
                <w:sz w:val="16"/>
                <w:szCs w:val="16"/>
              </w:rPr>
              <w:t>1.183</w:t>
            </w:r>
          </w:p>
        </w:tc>
      </w:tr>
      <w:tr w:rsidR="00A154CC" w:rsidRPr="00B406EB" w:rsidTr="00285D6C">
        <w:trPr>
          <w:trHeight w:val="263"/>
        </w:trPr>
        <w:tc>
          <w:tcPr>
            <w:tcW w:w="3412" w:type="dxa"/>
            <w:tcBorders>
              <w:top w:val="nil"/>
              <w:left w:val="single" w:sz="8" w:space="0" w:color="auto"/>
              <w:bottom w:val="single" w:sz="8" w:space="0" w:color="auto"/>
              <w:right w:val="single" w:sz="8" w:space="0" w:color="auto"/>
            </w:tcBorders>
            <w:shd w:val="clear" w:color="auto" w:fill="auto"/>
            <w:hideMark/>
          </w:tcPr>
          <w:p w:rsidR="00A154CC" w:rsidRPr="00B406EB" w:rsidRDefault="00A154CC" w:rsidP="00E346A4">
            <w:pPr>
              <w:spacing w:before="60" w:after="60"/>
              <w:jc w:val="left"/>
              <w:rPr>
                <w:rFonts w:ascii="Arial" w:hAnsi="Arial" w:cs="Arial"/>
                <w:sz w:val="16"/>
                <w:szCs w:val="16"/>
                <w:lang w:eastAsia="en-NZ"/>
              </w:rPr>
            </w:pPr>
            <w:r w:rsidRPr="00B406EB">
              <w:rPr>
                <w:rFonts w:ascii="Arial" w:hAnsi="Arial" w:cs="Arial"/>
                <w:sz w:val="16"/>
                <w:szCs w:val="16"/>
                <w:lang w:eastAsia="en-NZ"/>
              </w:rPr>
              <w:t xml:space="preserve">Garden and food </w:t>
            </w:r>
          </w:p>
        </w:tc>
        <w:tc>
          <w:tcPr>
            <w:tcW w:w="1560" w:type="dxa"/>
            <w:tcBorders>
              <w:top w:val="nil"/>
              <w:left w:val="nil"/>
              <w:bottom w:val="single" w:sz="8" w:space="0" w:color="auto"/>
              <w:right w:val="single" w:sz="8" w:space="0" w:color="auto"/>
            </w:tcBorders>
            <w:shd w:val="clear" w:color="auto" w:fill="auto"/>
            <w:hideMark/>
          </w:tcPr>
          <w:p w:rsidR="00A154CC" w:rsidRPr="00B406EB" w:rsidRDefault="00A154CC" w:rsidP="00E346A4">
            <w:pPr>
              <w:spacing w:before="60" w:after="60"/>
              <w:jc w:val="left"/>
              <w:rPr>
                <w:rFonts w:ascii="Arial" w:hAnsi="Arial" w:cs="Arial"/>
                <w:sz w:val="16"/>
                <w:szCs w:val="16"/>
                <w:lang w:eastAsia="en-NZ"/>
              </w:rPr>
            </w:pPr>
            <w:r w:rsidRPr="00B406EB">
              <w:rPr>
                <w:rFonts w:ascii="Arial" w:hAnsi="Arial" w:cs="Arial"/>
                <w:sz w:val="16"/>
                <w:szCs w:val="16"/>
                <w:lang w:eastAsia="en-NZ"/>
              </w:rPr>
              <w:t>kg</w:t>
            </w:r>
          </w:p>
        </w:tc>
        <w:tc>
          <w:tcPr>
            <w:tcW w:w="1701" w:type="dxa"/>
            <w:tcBorders>
              <w:top w:val="nil"/>
              <w:left w:val="nil"/>
              <w:bottom w:val="single" w:sz="8" w:space="0" w:color="auto"/>
              <w:right w:val="single" w:sz="8" w:space="0" w:color="auto"/>
            </w:tcBorders>
            <w:shd w:val="clear" w:color="auto" w:fill="auto"/>
            <w:noWrap/>
            <w:vAlign w:val="bottom"/>
            <w:hideMark/>
          </w:tcPr>
          <w:p w:rsidR="00A154CC" w:rsidRPr="00673741" w:rsidRDefault="00A154CC" w:rsidP="00E346A4">
            <w:pPr>
              <w:spacing w:before="60" w:after="60"/>
              <w:jc w:val="right"/>
              <w:rPr>
                <w:rFonts w:ascii="Arial" w:hAnsi="Arial" w:cs="Arial"/>
                <w:sz w:val="16"/>
                <w:szCs w:val="16"/>
                <w:lang w:eastAsia="en-NZ"/>
              </w:rPr>
            </w:pPr>
            <w:r w:rsidRPr="001547B7">
              <w:rPr>
                <w:rFonts w:ascii="Arial" w:hAnsi="Arial" w:cs="Arial"/>
                <w:sz w:val="16"/>
                <w:szCs w:val="16"/>
              </w:rPr>
              <w:t>0.444</w:t>
            </w:r>
          </w:p>
        </w:tc>
      </w:tr>
      <w:tr w:rsidR="00A154CC" w:rsidRPr="00B406EB" w:rsidTr="00285D6C">
        <w:trPr>
          <w:trHeight w:val="276"/>
        </w:trPr>
        <w:tc>
          <w:tcPr>
            <w:tcW w:w="3412" w:type="dxa"/>
            <w:tcBorders>
              <w:top w:val="nil"/>
              <w:left w:val="single" w:sz="8" w:space="0" w:color="auto"/>
              <w:bottom w:val="single" w:sz="8" w:space="0" w:color="auto"/>
              <w:right w:val="single" w:sz="8" w:space="0" w:color="auto"/>
            </w:tcBorders>
            <w:shd w:val="clear" w:color="auto" w:fill="auto"/>
            <w:hideMark/>
          </w:tcPr>
          <w:p w:rsidR="00A154CC" w:rsidRPr="00B406EB" w:rsidRDefault="00A154CC" w:rsidP="00E346A4">
            <w:pPr>
              <w:spacing w:before="60" w:after="60"/>
              <w:jc w:val="left"/>
              <w:rPr>
                <w:rFonts w:ascii="Arial" w:hAnsi="Arial" w:cs="Arial"/>
                <w:sz w:val="16"/>
                <w:szCs w:val="16"/>
                <w:lang w:eastAsia="en-NZ"/>
              </w:rPr>
            </w:pPr>
            <w:r w:rsidRPr="00B406EB">
              <w:rPr>
                <w:rFonts w:ascii="Arial" w:hAnsi="Arial" w:cs="Arial"/>
                <w:sz w:val="16"/>
                <w:szCs w:val="16"/>
                <w:lang w:eastAsia="en-NZ"/>
              </w:rPr>
              <w:t>Wood</w:t>
            </w:r>
          </w:p>
        </w:tc>
        <w:tc>
          <w:tcPr>
            <w:tcW w:w="1560" w:type="dxa"/>
            <w:tcBorders>
              <w:top w:val="nil"/>
              <w:left w:val="nil"/>
              <w:bottom w:val="single" w:sz="8" w:space="0" w:color="auto"/>
              <w:right w:val="single" w:sz="8" w:space="0" w:color="auto"/>
            </w:tcBorders>
            <w:shd w:val="clear" w:color="auto" w:fill="auto"/>
            <w:hideMark/>
          </w:tcPr>
          <w:p w:rsidR="00A154CC" w:rsidRPr="00B406EB" w:rsidRDefault="00A154CC" w:rsidP="00E346A4">
            <w:pPr>
              <w:spacing w:before="60" w:after="60"/>
              <w:jc w:val="left"/>
              <w:rPr>
                <w:rFonts w:ascii="Arial" w:hAnsi="Arial" w:cs="Arial"/>
                <w:sz w:val="16"/>
                <w:szCs w:val="16"/>
                <w:lang w:eastAsia="en-NZ"/>
              </w:rPr>
            </w:pPr>
            <w:r w:rsidRPr="00B406EB">
              <w:rPr>
                <w:rFonts w:ascii="Arial" w:hAnsi="Arial" w:cs="Arial"/>
                <w:sz w:val="16"/>
                <w:szCs w:val="16"/>
                <w:lang w:eastAsia="en-NZ"/>
              </w:rPr>
              <w:t>kg</w:t>
            </w:r>
          </w:p>
        </w:tc>
        <w:tc>
          <w:tcPr>
            <w:tcW w:w="1701" w:type="dxa"/>
            <w:tcBorders>
              <w:top w:val="nil"/>
              <w:left w:val="nil"/>
              <w:bottom w:val="single" w:sz="8" w:space="0" w:color="auto"/>
              <w:right w:val="single" w:sz="8" w:space="0" w:color="auto"/>
            </w:tcBorders>
            <w:shd w:val="clear" w:color="auto" w:fill="auto"/>
            <w:noWrap/>
            <w:vAlign w:val="bottom"/>
            <w:hideMark/>
          </w:tcPr>
          <w:p w:rsidR="00A154CC" w:rsidRPr="00673741" w:rsidRDefault="00F020A1" w:rsidP="00E346A4">
            <w:pPr>
              <w:spacing w:before="60" w:after="60"/>
              <w:jc w:val="right"/>
              <w:rPr>
                <w:rFonts w:ascii="Arial" w:hAnsi="Arial" w:cs="Arial"/>
                <w:sz w:val="16"/>
                <w:szCs w:val="16"/>
                <w:lang w:eastAsia="en-NZ"/>
              </w:rPr>
            </w:pPr>
            <w:r>
              <w:rPr>
                <w:rFonts w:ascii="Arial" w:hAnsi="Arial" w:cs="Arial"/>
                <w:sz w:val="16"/>
                <w:szCs w:val="16"/>
              </w:rPr>
              <w:t>1.272</w:t>
            </w:r>
          </w:p>
        </w:tc>
      </w:tr>
      <w:tr w:rsidR="00A154CC" w:rsidRPr="00B406EB" w:rsidTr="00B358BE">
        <w:trPr>
          <w:trHeight w:val="276"/>
        </w:trPr>
        <w:tc>
          <w:tcPr>
            <w:tcW w:w="6673" w:type="dxa"/>
            <w:gridSpan w:val="3"/>
            <w:tcBorders>
              <w:top w:val="single" w:sz="8" w:space="0" w:color="auto"/>
              <w:left w:val="single" w:sz="8" w:space="0" w:color="auto"/>
              <w:bottom w:val="single" w:sz="8" w:space="0" w:color="auto"/>
              <w:right w:val="single" w:sz="8" w:space="0" w:color="000000"/>
            </w:tcBorders>
            <w:shd w:val="clear" w:color="auto" w:fill="auto"/>
            <w:hideMark/>
          </w:tcPr>
          <w:p w:rsidR="00A154CC" w:rsidRPr="00B406EB" w:rsidRDefault="00A154CC" w:rsidP="00E346A4">
            <w:pPr>
              <w:spacing w:before="60" w:after="60"/>
              <w:jc w:val="left"/>
              <w:rPr>
                <w:rFonts w:ascii="Arial" w:hAnsi="Arial" w:cs="Arial"/>
                <w:b/>
                <w:bCs/>
                <w:sz w:val="16"/>
                <w:szCs w:val="16"/>
                <w:lang w:eastAsia="en-NZ"/>
              </w:rPr>
            </w:pPr>
            <w:r w:rsidRPr="00B406EB">
              <w:rPr>
                <w:rFonts w:ascii="Arial" w:hAnsi="Arial" w:cs="Arial"/>
                <w:b/>
                <w:bCs/>
                <w:sz w:val="16"/>
                <w:szCs w:val="16"/>
                <w:lang w:eastAsia="en-GB"/>
              </w:rPr>
              <w:t>Landfilled waste – default values (without landfill gas recovery)</w:t>
            </w:r>
          </w:p>
        </w:tc>
      </w:tr>
      <w:tr w:rsidR="00A154CC" w:rsidRPr="00B406EB" w:rsidTr="00285D6C">
        <w:trPr>
          <w:trHeight w:val="247"/>
        </w:trPr>
        <w:tc>
          <w:tcPr>
            <w:tcW w:w="3412" w:type="dxa"/>
            <w:tcBorders>
              <w:top w:val="nil"/>
              <w:left w:val="single" w:sz="8" w:space="0" w:color="auto"/>
              <w:bottom w:val="single" w:sz="8" w:space="0" w:color="auto"/>
              <w:right w:val="single" w:sz="8" w:space="0" w:color="auto"/>
            </w:tcBorders>
            <w:shd w:val="clear" w:color="auto" w:fill="auto"/>
            <w:hideMark/>
          </w:tcPr>
          <w:p w:rsidR="00A154CC" w:rsidRPr="00B406EB" w:rsidRDefault="00A154CC" w:rsidP="00E346A4">
            <w:pPr>
              <w:spacing w:before="60" w:after="60"/>
              <w:jc w:val="left"/>
              <w:rPr>
                <w:rFonts w:ascii="Arial" w:hAnsi="Arial" w:cs="Arial"/>
                <w:sz w:val="16"/>
                <w:szCs w:val="16"/>
                <w:lang w:eastAsia="en-NZ"/>
              </w:rPr>
            </w:pPr>
            <w:r w:rsidRPr="00B406EB">
              <w:rPr>
                <w:rFonts w:ascii="Arial" w:hAnsi="Arial" w:cs="Arial"/>
                <w:sz w:val="16"/>
                <w:szCs w:val="16"/>
                <w:lang w:eastAsia="en-GB"/>
              </w:rPr>
              <w:t>Mixed waste (national average)</w:t>
            </w:r>
          </w:p>
        </w:tc>
        <w:tc>
          <w:tcPr>
            <w:tcW w:w="1560" w:type="dxa"/>
            <w:tcBorders>
              <w:top w:val="nil"/>
              <w:left w:val="nil"/>
              <w:bottom w:val="single" w:sz="8" w:space="0" w:color="auto"/>
              <w:right w:val="single" w:sz="8" w:space="0" w:color="auto"/>
            </w:tcBorders>
            <w:shd w:val="clear" w:color="auto" w:fill="auto"/>
            <w:hideMark/>
          </w:tcPr>
          <w:p w:rsidR="00A154CC" w:rsidRPr="00B406EB" w:rsidRDefault="00A154CC" w:rsidP="00E346A4">
            <w:pPr>
              <w:spacing w:before="60" w:after="60"/>
              <w:jc w:val="left"/>
              <w:rPr>
                <w:rFonts w:ascii="Arial" w:hAnsi="Arial" w:cs="Arial"/>
                <w:sz w:val="16"/>
                <w:szCs w:val="16"/>
                <w:lang w:eastAsia="en-NZ"/>
              </w:rPr>
            </w:pPr>
            <w:r w:rsidRPr="00B406EB">
              <w:rPr>
                <w:rFonts w:ascii="Arial" w:hAnsi="Arial" w:cs="Arial"/>
                <w:sz w:val="16"/>
                <w:szCs w:val="16"/>
                <w:lang w:eastAsia="en-GB"/>
              </w:rPr>
              <w:t>kg</w:t>
            </w:r>
          </w:p>
        </w:tc>
        <w:tc>
          <w:tcPr>
            <w:tcW w:w="1701" w:type="dxa"/>
            <w:tcBorders>
              <w:top w:val="nil"/>
              <w:left w:val="nil"/>
              <w:bottom w:val="single" w:sz="8" w:space="0" w:color="auto"/>
              <w:right w:val="single" w:sz="8" w:space="0" w:color="auto"/>
            </w:tcBorders>
            <w:shd w:val="clear" w:color="auto" w:fill="auto"/>
            <w:noWrap/>
            <w:vAlign w:val="bottom"/>
            <w:hideMark/>
          </w:tcPr>
          <w:p w:rsidR="00A154CC" w:rsidRPr="009A08CE" w:rsidRDefault="00A154CC" w:rsidP="00E346A4">
            <w:pPr>
              <w:spacing w:before="60" w:after="60"/>
              <w:jc w:val="right"/>
              <w:rPr>
                <w:rFonts w:ascii="Arial" w:hAnsi="Arial" w:cs="Arial"/>
                <w:sz w:val="16"/>
                <w:szCs w:val="16"/>
                <w:lang w:eastAsia="en-NZ"/>
              </w:rPr>
            </w:pPr>
            <w:r w:rsidRPr="00285D6C">
              <w:rPr>
                <w:rFonts w:ascii="Arial" w:hAnsi="Arial" w:cs="Arial"/>
                <w:sz w:val="16"/>
                <w:szCs w:val="16"/>
              </w:rPr>
              <w:t>1.13</w:t>
            </w:r>
          </w:p>
        </w:tc>
      </w:tr>
      <w:tr w:rsidR="00A154CC" w:rsidRPr="00B406EB" w:rsidTr="00285D6C">
        <w:trPr>
          <w:trHeight w:val="276"/>
        </w:trPr>
        <w:tc>
          <w:tcPr>
            <w:tcW w:w="3412" w:type="dxa"/>
            <w:tcBorders>
              <w:top w:val="nil"/>
              <w:left w:val="single" w:sz="8" w:space="0" w:color="auto"/>
              <w:bottom w:val="single" w:sz="8" w:space="0" w:color="auto"/>
              <w:right w:val="single" w:sz="8" w:space="0" w:color="auto"/>
            </w:tcBorders>
            <w:shd w:val="clear" w:color="auto" w:fill="auto"/>
            <w:hideMark/>
          </w:tcPr>
          <w:p w:rsidR="00A154CC" w:rsidRPr="00B406EB" w:rsidRDefault="00A154CC" w:rsidP="00E346A4">
            <w:pPr>
              <w:spacing w:before="60" w:after="60"/>
              <w:jc w:val="left"/>
              <w:rPr>
                <w:rFonts w:ascii="Arial" w:hAnsi="Arial" w:cs="Arial"/>
                <w:sz w:val="16"/>
                <w:szCs w:val="16"/>
                <w:lang w:eastAsia="en-NZ"/>
              </w:rPr>
            </w:pPr>
            <w:r w:rsidRPr="00B406EB">
              <w:rPr>
                <w:rFonts w:ascii="Arial" w:hAnsi="Arial" w:cs="Arial"/>
                <w:sz w:val="16"/>
                <w:szCs w:val="16"/>
                <w:lang w:eastAsia="en-GB"/>
              </w:rPr>
              <w:t>Office waste</w:t>
            </w:r>
          </w:p>
        </w:tc>
        <w:tc>
          <w:tcPr>
            <w:tcW w:w="1560" w:type="dxa"/>
            <w:tcBorders>
              <w:top w:val="nil"/>
              <w:left w:val="nil"/>
              <w:bottom w:val="single" w:sz="8" w:space="0" w:color="auto"/>
              <w:right w:val="single" w:sz="8" w:space="0" w:color="auto"/>
            </w:tcBorders>
            <w:shd w:val="clear" w:color="auto" w:fill="auto"/>
            <w:hideMark/>
          </w:tcPr>
          <w:p w:rsidR="00A154CC" w:rsidRPr="00B406EB" w:rsidRDefault="00A154CC" w:rsidP="00E346A4">
            <w:pPr>
              <w:spacing w:before="60" w:after="60"/>
              <w:jc w:val="left"/>
              <w:rPr>
                <w:rFonts w:ascii="Arial" w:hAnsi="Arial" w:cs="Arial"/>
                <w:sz w:val="16"/>
                <w:szCs w:val="16"/>
                <w:lang w:eastAsia="en-NZ"/>
              </w:rPr>
            </w:pPr>
            <w:r w:rsidRPr="00B406EB">
              <w:rPr>
                <w:rFonts w:ascii="Arial" w:hAnsi="Arial" w:cs="Arial"/>
                <w:sz w:val="16"/>
                <w:szCs w:val="16"/>
                <w:lang w:eastAsia="en-GB"/>
              </w:rPr>
              <w:t>kg</w:t>
            </w:r>
          </w:p>
        </w:tc>
        <w:tc>
          <w:tcPr>
            <w:tcW w:w="1701" w:type="dxa"/>
            <w:tcBorders>
              <w:top w:val="nil"/>
              <w:left w:val="nil"/>
              <w:bottom w:val="single" w:sz="8" w:space="0" w:color="auto"/>
              <w:right w:val="single" w:sz="8" w:space="0" w:color="auto"/>
            </w:tcBorders>
            <w:shd w:val="clear" w:color="auto" w:fill="auto"/>
            <w:noWrap/>
            <w:vAlign w:val="bottom"/>
            <w:hideMark/>
          </w:tcPr>
          <w:p w:rsidR="00A154CC" w:rsidRPr="009A08CE" w:rsidRDefault="00A154CC" w:rsidP="00E346A4">
            <w:pPr>
              <w:spacing w:before="60" w:after="60"/>
              <w:jc w:val="right"/>
              <w:rPr>
                <w:rFonts w:ascii="Arial" w:hAnsi="Arial" w:cs="Arial"/>
                <w:sz w:val="16"/>
                <w:szCs w:val="16"/>
                <w:lang w:eastAsia="en-NZ"/>
              </w:rPr>
            </w:pPr>
            <w:r w:rsidRPr="00285D6C">
              <w:rPr>
                <w:rFonts w:ascii="Arial" w:hAnsi="Arial" w:cs="Arial"/>
                <w:sz w:val="16"/>
                <w:szCs w:val="16"/>
              </w:rPr>
              <w:t>1.84</w:t>
            </w:r>
          </w:p>
        </w:tc>
      </w:tr>
      <w:tr w:rsidR="00A154CC" w:rsidRPr="00B406EB" w:rsidTr="00B358BE">
        <w:trPr>
          <w:trHeight w:val="276"/>
        </w:trPr>
        <w:tc>
          <w:tcPr>
            <w:tcW w:w="6673" w:type="dxa"/>
            <w:gridSpan w:val="3"/>
            <w:tcBorders>
              <w:top w:val="single" w:sz="8" w:space="0" w:color="auto"/>
              <w:left w:val="single" w:sz="8" w:space="0" w:color="auto"/>
              <w:bottom w:val="single" w:sz="8" w:space="0" w:color="auto"/>
              <w:right w:val="single" w:sz="8" w:space="0" w:color="000000"/>
            </w:tcBorders>
            <w:shd w:val="clear" w:color="auto" w:fill="auto"/>
            <w:hideMark/>
          </w:tcPr>
          <w:p w:rsidR="00A154CC" w:rsidRPr="00B406EB" w:rsidRDefault="00A154CC" w:rsidP="00E346A4">
            <w:pPr>
              <w:spacing w:before="60" w:after="60"/>
              <w:jc w:val="left"/>
              <w:rPr>
                <w:rFonts w:ascii="Arial" w:hAnsi="Arial" w:cs="Arial"/>
                <w:b/>
                <w:bCs/>
                <w:sz w:val="16"/>
                <w:szCs w:val="16"/>
                <w:lang w:eastAsia="en-NZ"/>
              </w:rPr>
            </w:pPr>
            <w:r w:rsidRPr="00B406EB">
              <w:rPr>
                <w:rFonts w:ascii="Arial" w:hAnsi="Arial" w:cs="Arial"/>
                <w:b/>
                <w:bCs/>
                <w:sz w:val="16"/>
                <w:szCs w:val="16"/>
                <w:lang w:eastAsia="en-GB"/>
              </w:rPr>
              <w:t>Landfilled waste – default values (with landfill gas recovery)</w:t>
            </w:r>
          </w:p>
        </w:tc>
      </w:tr>
      <w:tr w:rsidR="00673741" w:rsidRPr="00B406EB" w:rsidTr="00E346A4">
        <w:trPr>
          <w:trHeight w:val="175"/>
        </w:trPr>
        <w:tc>
          <w:tcPr>
            <w:tcW w:w="3412" w:type="dxa"/>
            <w:tcBorders>
              <w:top w:val="nil"/>
              <w:left w:val="single" w:sz="8" w:space="0" w:color="auto"/>
              <w:bottom w:val="single" w:sz="8" w:space="0" w:color="auto"/>
              <w:right w:val="single" w:sz="8" w:space="0" w:color="auto"/>
            </w:tcBorders>
            <w:shd w:val="clear" w:color="auto" w:fill="auto"/>
            <w:hideMark/>
          </w:tcPr>
          <w:p w:rsidR="00673741" w:rsidRPr="00B406EB" w:rsidRDefault="00673741" w:rsidP="00E346A4">
            <w:pPr>
              <w:spacing w:before="60" w:after="60"/>
              <w:jc w:val="left"/>
              <w:rPr>
                <w:rFonts w:ascii="Arial" w:hAnsi="Arial" w:cs="Arial"/>
                <w:sz w:val="16"/>
                <w:szCs w:val="16"/>
                <w:lang w:eastAsia="en-NZ"/>
              </w:rPr>
            </w:pPr>
            <w:r w:rsidRPr="00B406EB">
              <w:rPr>
                <w:rFonts w:ascii="Arial" w:hAnsi="Arial" w:cs="Arial"/>
                <w:sz w:val="16"/>
                <w:szCs w:val="16"/>
                <w:lang w:eastAsia="en-GB"/>
              </w:rPr>
              <w:t>Mixed waste (national average)</w:t>
            </w:r>
          </w:p>
        </w:tc>
        <w:tc>
          <w:tcPr>
            <w:tcW w:w="1560" w:type="dxa"/>
            <w:tcBorders>
              <w:top w:val="nil"/>
              <w:left w:val="nil"/>
              <w:bottom w:val="single" w:sz="8" w:space="0" w:color="auto"/>
              <w:right w:val="single" w:sz="8" w:space="0" w:color="auto"/>
            </w:tcBorders>
            <w:shd w:val="clear" w:color="auto" w:fill="auto"/>
            <w:hideMark/>
          </w:tcPr>
          <w:p w:rsidR="00673741" w:rsidRPr="00B406EB" w:rsidRDefault="00673741" w:rsidP="00E346A4">
            <w:pPr>
              <w:spacing w:before="60" w:after="60"/>
              <w:jc w:val="left"/>
              <w:rPr>
                <w:rFonts w:ascii="Arial" w:hAnsi="Arial" w:cs="Arial"/>
                <w:sz w:val="16"/>
                <w:szCs w:val="16"/>
                <w:lang w:eastAsia="en-NZ"/>
              </w:rPr>
            </w:pPr>
            <w:r w:rsidRPr="00B406EB">
              <w:rPr>
                <w:rFonts w:ascii="Arial" w:hAnsi="Arial" w:cs="Arial"/>
                <w:sz w:val="16"/>
                <w:szCs w:val="16"/>
                <w:lang w:eastAsia="en-GB"/>
              </w:rPr>
              <w:t>kg</w:t>
            </w:r>
          </w:p>
        </w:tc>
        <w:tc>
          <w:tcPr>
            <w:tcW w:w="1701" w:type="dxa"/>
            <w:tcBorders>
              <w:top w:val="nil"/>
              <w:left w:val="nil"/>
              <w:bottom w:val="single" w:sz="8" w:space="0" w:color="auto"/>
              <w:right w:val="single" w:sz="8" w:space="0" w:color="auto"/>
            </w:tcBorders>
            <w:shd w:val="clear" w:color="auto" w:fill="auto"/>
            <w:noWrap/>
            <w:vAlign w:val="bottom"/>
            <w:hideMark/>
          </w:tcPr>
          <w:p w:rsidR="00673741" w:rsidRPr="00673741" w:rsidRDefault="00673741" w:rsidP="00E346A4">
            <w:pPr>
              <w:spacing w:before="60" w:after="60"/>
              <w:jc w:val="right"/>
              <w:rPr>
                <w:rFonts w:ascii="Arial" w:hAnsi="Arial" w:cs="Arial"/>
                <w:sz w:val="16"/>
                <w:szCs w:val="16"/>
                <w:lang w:eastAsia="en-NZ"/>
              </w:rPr>
            </w:pPr>
            <w:r w:rsidRPr="001547B7">
              <w:rPr>
                <w:rFonts w:ascii="Arial" w:hAnsi="Arial" w:cs="Arial"/>
                <w:sz w:val="16"/>
                <w:szCs w:val="16"/>
              </w:rPr>
              <w:t>0.444</w:t>
            </w:r>
          </w:p>
        </w:tc>
      </w:tr>
      <w:tr w:rsidR="00673741" w:rsidRPr="00B406EB" w:rsidTr="00285D6C">
        <w:trPr>
          <w:trHeight w:val="276"/>
        </w:trPr>
        <w:tc>
          <w:tcPr>
            <w:tcW w:w="3412" w:type="dxa"/>
            <w:tcBorders>
              <w:top w:val="nil"/>
              <w:left w:val="single" w:sz="8" w:space="0" w:color="auto"/>
              <w:bottom w:val="single" w:sz="8" w:space="0" w:color="auto"/>
              <w:right w:val="single" w:sz="8" w:space="0" w:color="auto"/>
            </w:tcBorders>
            <w:shd w:val="clear" w:color="auto" w:fill="auto"/>
            <w:hideMark/>
          </w:tcPr>
          <w:p w:rsidR="00673741" w:rsidRPr="00B406EB" w:rsidRDefault="00673741" w:rsidP="00E346A4">
            <w:pPr>
              <w:spacing w:before="60" w:after="60"/>
              <w:jc w:val="left"/>
              <w:rPr>
                <w:rFonts w:ascii="Arial" w:hAnsi="Arial" w:cs="Arial"/>
                <w:sz w:val="16"/>
                <w:szCs w:val="16"/>
                <w:lang w:eastAsia="en-NZ"/>
              </w:rPr>
            </w:pPr>
            <w:r w:rsidRPr="00B406EB">
              <w:rPr>
                <w:rFonts w:ascii="Arial" w:hAnsi="Arial" w:cs="Arial"/>
                <w:sz w:val="16"/>
                <w:szCs w:val="16"/>
                <w:lang w:eastAsia="en-GB"/>
              </w:rPr>
              <w:t>Office waste</w:t>
            </w:r>
          </w:p>
        </w:tc>
        <w:tc>
          <w:tcPr>
            <w:tcW w:w="1560" w:type="dxa"/>
            <w:tcBorders>
              <w:top w:val="nil"/>
              <w:left w:val="nil"/>
              <w:bottom w:val="single" w:sz="8" w:space="0" w:color="auto"/>
              <w:right w:val="single" w:sz="8" w:space="0" w:color="auto"/>
            </w:tcBorders>
            <w:shd w:val="clear" w:color="auto" w:fill="auto"/>
            <w:hideMark/>
          </w:tcPr>
          <w:p w:rsidR="00673741" w:rsidRPr="00B406EB" w:rsidRDefault="00673741" w:rsidP="00E346A4">
            <w:pPr>
              <w:spacing w:before="60" w:after="60"/>
              <w:jc w:val="left"/>
              <w:rPr>
                <w:rFonts w:ascii="Arial" w:hAnsi="Arial" w:cs="Arial"/>
                <w:sz w:val="16"/>
                <w:szCs w:val="16"/>
                <w:lang w:eastAsia="en-NZ"/>
              </w:rPr>
            </w:pPr>
            <w:r w:rsidRPr="00B406EB">
              <w:rPr>
                <w:rFonts w:ascii="Arial" w:hAnsi="Arial" w:cs="Arial"/>
                <w:sz w:val="16"/>
                <w:szCs w:val="16"/>
                <w:lang w:eastAsia="en-GB"/>
              </w:rPr>
              <w:t>kg</w:t>
            </w:r>
          </w:p>
        </w:tc>
        <w:tc>
          <w:tcPr>
            <w:tcW w:w="1701" w:type="dxa"/>
            <w:tcBorders>
              <w:top w:val="nil"/>
              <w:left w:val="nil"/>
              <w:bottom w:val="single" w:sz="8" w:space="0" w:color="auto"/>
              <w:right w:val="single" w:sz="8" w:space="0" w:color="auto"/>
            </w:tcBorders>
            <w:shd w:val="clear" w:color="auto" w:fill="auto"/>
            <w:noWrap/>
            <w:vAlign w:val="bottom"/>
            <w:hideMark/>
          </w:tcPr>
          <w:p w:rsidR="00673741" w:rsidRPr="00673741" w:rsidRDefault="00673741" w:rsidP="00E346A4">
            <w:pPr>
              <w:spacing w:before="60" w:after="60"/>
              <w:jc w:val="right"/>
              <w:rPr>
                <w:rFonts w:ascii="Arial" w:hAnsi="Arial" w:cs="Arial"/>
                <w:sz w:val="16"/>
                <w:szCs w:val="16"/>
                <w:lang w:eastAsia="en-NZ"/>
              </w:rPr>
            </w:pPr>
            <w:r w:rsidRPr="001547B7">
              <w:rPr>
                <w:rFonts w:ascii="Arial" w:hAnsi="Arial" w:cs="Arial"/>
                <w:sz w:val="16"/>
                <w:szCs w:val="16"/>
              </w:rPr>
              <w:t>0.726</w:t>
            </w:r>
          </w:p>
        </w:tc>
      </w:tr>
    </w:tbl>
    <w:p w:rsidR="00B406EB" w:rsidRDefault="00B406EB" w:rsidP="00B406EB"/>
    <w:p w:rsidR="009E3385" w:rsidRDefault="009E3385" w:rsidP="00704EDD">
      <w:pPr>
        <w:spacing w:before="240"/>
        <w:jc w:val="left"/>
      </w:pPr>
      <w:r w:rsidRPr="004A76CD">
        <w:t>Emission factors for plastics, metals and glass are</w:t>
      </w:r>
      <w:r>
        <w:t xml:space="preserve"> not presented here because their decomposition</w:t>
      </w:r>
      <w:r w:rsidRPr="004A76CD">
        <w:t xml:space="preserve"> do</w:t>
      </w:r>
      <w:r>
        <w:t>es</w:t>
      </w:r>
      <w:r w:rsidRPr="004A76CD">
        <w:t xml:space="preserve"> not directly produce </w:t>
      </w:r>
      <w:r w:rsidR="007B5351">
        <w:t xml:space="preserve">GHG </w:t>
      </w:r>
      <w:r w:rsidRPr="004A76CD">
        <w:t>emissions. Only organic waste produces methane as it breaks down.</w:t>
      </w:r>
    </w:p>
    <w:p w:rsidR="00884E29" w:rsidRPr="004A76CD" w:rsidRDefault="00884E29" w:rsidP="00704EDD">
      <w:pPr>
        <w:jc w:val="left"/>
      </w:pPr>
    </w:p>
    <w:p w:rsidR="009E3385" w:rsidRPr="000F1882" w:rsidRDefault="009E3385" w:rsidP="00704EDD">
      <w:pPr>
        <w:pStyle w:val="Heading4"/>
        <w:jc w:val="left"/>
      </w:pPr>
      <w:bookmarkStart w:id="197" w:name="_Toc185407856"/>
      <w:r w:rsidRPr="000F1882">
        <w:t>Assumption</w:t>
      </w:r>
      <w:bookmarkEnd w:id="197"/>
      <w:r w:rsidRPr="000F1882">
        <w:t>s</w:t>
      </w:r>
    </w:p>
    <w:p w:rsidR="002454B0" w:rsidRDefault="00CD32DA" w:rsidP="00704EDD">
      <w:pPr>
        <w:jc w:val="left"/>
        <w:rPr>
          <w:szCs w:val="22"/>
        </w:rPr>
      </w:pPr>
      <w:r>
        <w:rPr>
          <w:szCs w:val="22"/>
        </w:rPr>
        <w:t xml:space="preserve">The default emission factor for mixed waste is based on national average composition data from New Zealand’s annual </w:t>
      </w:r>
      <w:r w:rsidR="007B5351">
        <w:rPr>
          <w:szCs w:val="22"/>
        </w:rPr>
        <w:t xml:space="preserve">GHG </w:t>
      </w:r>
      <w:r>
        <w:rPr>
          <w:szCs w:val="22"/>
        </w:rPr>
        <w:t xml:space="preserve">inventory. </w:t>
      </w:r>
    </w:p>
    <w:p w:rsidR="00CD32DA" w:rsidRDefault="00CD32DA" w:rsidP="00704EDD">
      <w:pPr>
        <w:jc w:val="left"/>
      </w:pPr>
    </w:p>
    <w:p w:rsidR="00B45E7C" w:rsidRDefault="009E3385" w:rsidP="00704EDD">
      <w:pPr>
        <w:jc w:val="left"/>
      </w:pPr>
      <w:r w:rsidRPr="000F1882">
        <w:t xml:space="preserve">The emission factors </w:t>
      </w:r>
      <w:r>
        <w:t xml:space="preserve">for office waste represent an assumed default composition (paper </w:t>
      </w:r>
      <w:r w:rsidR="00CD32DA">
        <w:t>54</w:t>
      </w:r>
      <w:r>
        <w:t xml:space="preserve"> per cent</w:t>
      </w:r>
      <w:r w:rsidR="0003745D">
        <w:t>,</w:t>
      </w:r>
      <w:r>
        <w:t xml:space="preserve"> garden and food </w:t>
      </w:r>
      <w:r w:rsidR="00CD32DA">
        <w:t>21</w:t>
      </w:r>
      <w:r>
        <w:t> per cent</w:t>
      </w:r>
      <w:r w:rsidR="0003745D">
        <w:t>,</w:t>
      </w:r>
      <w:r>
        <w:t xml:space="preserve"> and wood 0 per cent) for office waste, based on waste data from government </w:t>
      </w:r>
      <w:r w:rsidRPr="004266DB">
        <w:t>buildings</w:t>
      </w:r>
      <w:r>
        <w:t xml:space="preserve">. </w:t>
      </w:r>
    </w:p>
    <w:p w:rsidR="00B45E7C" w:rsidRDefault="00B45E7C" w:rsidP="00704EDD">
      <w:pPr>
        <w:jc w:val="left"/>
      </w:pPr>
    </w:p>
    <w:p w:rsidR="009E3385" w:rsidRDefault="009E3385" w:rsidP="00704EDD">
      <w:pPr>
        <w:jc w:val="left"/>
      </w:pPr>
      <w:r>
        <w:t xml:space="preserve">The derivations of all the emission factors in </w:t>
      </w:r>
      <w:r w:rsidR="00EB1450">
        <w:t>table</w:t>
      </w:r>
      <w:r>
        <w:t xml:space="preserve"> </w:t>
      </w:r>
      <w:r w:rsidR="001765B5">
        <w:t>10</w:t>
      </w:r>
      <w:r>
        <w:t xml:space="preserve"> are set out in Appendix </w:t>
      </w:r>
      <w:r w:rsidR="004C22C7">
        <w:t>C</w:t>
      </w:r>
      <w:r>
        <w:t>.</w:t>
      </w:r>
    </w:p>
    <w:p w:rsidR="00884E29" w:rsidRPr="000F1882" w:rsidRDefault="00884E29" w:rsidP="00704EDD">
      <w:pPr>
        <w:jc w:val="left"/>
      </w:pPr>
    </w:p>
    <w:p w:rsidR="009E3385" w:rsidRPr="000F1882" w:rsidRDefault="009E3385" w:rsidP="00884E29">
      <w:pPr>
        <w:pStyle w:val="Heading4"/>
      </w:pPr>
      <w:bookmarkStart w:id="198" w:name="_Toc185407857"/>
      <w:r w:rsidRPr="000F1882">
        <w:t>Example calculation</w:t>
      </w:r>
      <w:bookmarkEnd w:id="198"/>
    </w:p>
    <w:p w:rsidR="009E3385" w:rsidRPr="000F1882" w:rsidRDefault="009E3385" w:rsidP="00704EDD">
      <w:pPr>
        <w:jc w:val="left"/>
      </w:pPr>
      <w:r w:rsidRPr="000F1882">
        <w:t xml:space="preserve">An organisation disposes of 30 tonnes of garden waste to a landfill with a gas recovery system in </w:t>
      </w:r>
      <w:r w:rsidR="00577773">
        <w:t>201</w:t>
      </w:r>
      <w:r w:rsidR="00D03BE0">
        <w:t>6</w:t>
      </w:r>
      <w:r w:rsidRPr="000F1882">
        <w:t>.</w:t>
      </w:r>
    </w:p>
    <w:p w:rsidR="009E3385" w:rsidRDefault="009E3385" w:rsidP="00704EDD">
      <w:pPr>
        <w:spacing w:before="120"/>
        <w:ind w:left="397"/>
        <w:jc w:val="left"/>
      </w:pPr>
      <w:r w:rsidRPr="000F1882">
        <w:t>Total CO</w:t>
      </w:r>
      <w:r w:rsidRPr="000F1882">
        <w:rPr>
          <w:vertAlign w:val="subscript"/>
        </w:rPr>
        <w:t>2</w:t>
      </w:r>
      <w:r w:rsidRPr="000F1882">
        <w:t>-e emissions from waste to landfill = 30,000</w:t>
      </w:r>
      <w:r w:rsidR="00372781">
        <w:t xml:space="preserve"> x</w:t>
      </w:r>
      <w:r w:rsidR="00E51FC4">
        <w:t xml:space="preserve"> </w:t>
      </w:r>
      <w:r w:rsidR="00496112">
        <w:t>0.</w:t>
      </w:r>
      <w:r w:rsidR="004C22A4">
        <w:t>444</w:t>
      </w:r>
      <w:r w:rsidR="00A23837" w:rsidRPr="000F1882">
        <w:t xml:space="preserve"> </w:t>
      </w:r>
      <w:r w:rsidRPr="000F1882">
        <w:t xml:space="preserve">= </w:t>
      </w:r>
      <w:r w:rsidR="004C22A4">
        <w:t>13,320</w:t>
      </w:r>
      <w:r w:rsidRPr="000F1882">
        <w:t xml:space="preserve"> kg CO</w:t>
      </w:r>
      <w:r w:rsidRPr="000F1882">
        <w:rPr>
          <w:vertAlign w:val="subscript"/>
        </w:rPr>
        <w:t>2</w:t>
      </w:r>
      <w:r w:rsidRPr="000F1882">
        <w:t xml:space="preserve">-e </w:t>
      </w:r>
      <w:r w:rsidR="002C156D" w:rsidRPr="000F1882">
        <w:t>=</w:t>
      </w:r>
      <w:r w:rsidR="002C156D">
        <w:t> </w:t>
      </w:r>
      <w:r w:rsidR="004C22A4">
        <w:t>13.32</w:t>
      </w:r>
      <w:r w:rsidR="008C4B92">
        <w:t xml:space="preserve"> </w:t>
      </w:r>
      <w:r w:rsidRPr="000F1882">
        <w:t>tonnes CO</w:t>
      </w:r>
      <w:r w:rsidRPr="000F1882">
        <w:rPr>
          <w:vertAlign w:val="subscript"/>
        </w:rPr>
        <w:t>2</w:t>
      </w:r>
      <w:r w:rsidRPr="000F1882">
        <w:t>-e</w:t>
      </w:r>
      <w:r>
        <w:t>.</w:t>
      </w:r>
    </w:p>
    <w:p w:rsidR="00884E29" w:rsidRPr="000F1882" w:rsidRDefault="00884E29" w:rsidP="00884E29"/>
    <w:p w:rsidR="009E3385" w:rsidRPr="000F1882" w:rsidRDefault="009E3385" w:rsidP="00884E29">
      <w:pPr>
        <w:pStyle w:val="Heading1"/>
      </w:pPr>
      <w:r w:rsidRPr="000F1882">
        <w:br w:type="page"/>
      </w:r>
      <w:bookmarkStart w:id="199" w:name="_Toc209933000"/>
      <w:bookmarkStart w:id="200" w:name="_Toc210026937"/>
      <w:bookmarkStart w:id="201" w:name="_Toc289083973"/>
      <w:bookmarkStart w:id="202" w:name="_Toc469577183"/>
      <w:r w:rsidRPr="000F1882">
        <w:lastRenderedPageBreak/>
        <w:t>4</w:t>
      </w:r>
      <w:r w:rsidRPr="000F1882">
        <w:tab/>
        <w:t>References</w:t>
      </w:r>
      <w:bookmarkEnd w:id="199"/>
      <w:bookmarkEnd w:id="200"/>
      <w:bookmarkEnd w:id="201"/>
      <w:bookmarkEnd w:id="202"/>
    </w:p>
    <w:p w:rsidR="009E3385" w:rsidRPr="00546CE4" w:rsidRDefault="009E3385" w:rsidP="00704EDD">
      <w:pPr>
        <w:pStyle w:val="References"/>
        <w:jc w:val="left"/>
        <w:rPr>
          <w:color w:val="000000"/>
        </w:rPr>
      </w:pPr>
      <w:r w:rsidRPr="00546CE4">
        <w:rPr>
          <w:szCs w:val="22"/>
        </w:rPr>
        <w:t>Department for Environment Food and Rural Affairs</w:t>
      </w:r>
      <w:r w:rsidR="006C2F7D">
        <w:rPr>
          <w:szCs w:val="22"/>
        </w:rPr>
        <w:t>.</w:t>
      </w:r>
      <w:r w:rsidRPr="00546CE4">
        <w:rPr>
          <w:szCs w:val="22"/>
        </w:rPr>
        <w:t xml:space="preserve"> </w:t>
      </w:r>
      <w:r w:rsidR="003B300E">
        <w:rPr>
          <w:szCs w:val="22"/>
        </w:rPr>
        <w:t>2013</w:t>
      </w:r>
      <w:r w:rsidR="006C2F7D">
        <w:rPr>
          <w:szCs w:val="22"/>
        </w:rPr>
        <w:t>.</w:t>
      </w:r>
      <w:r w:rsidR="004C12B1">
        <w:rPr>
          <w:szCs w:val="22"/>
        </w:rPr>
        <w:t xml:space="preserve"> </w:t>
      </w:r>
      <w:r w:rsidR="004C12B1" w:rsidRPr="00270E3B">
        <w:rPr>
          <w:i/>
          <w:szCs w:val="22"/>
        </w:rPr>
        <w:t>UK Government Conversion Factors for Company Reporting</w:t>
      </w:r>
      <w:r w:rsidR="004C12B1">
        <w:rPr>
          <w:szCs w:val="22"/>
        </w:rPr>
        <w:t xml:space="preserve">. </w:t>
      </w:r>
      <w:r w:rsidRPr="00546CE4">
        <w:t>Retrieved from</w:t>
      </w:r>
      <w:r w:rsidR="00872953">
        <w:t xml:space="preserve"> </w:t>
      </w:r>
      <w:hyperlink r:id="rId23" w:history="1">
        <w:r w:rsidR="003B300E" w:rsidRPr="00221044">
          <w:rPr>
            <w:rStyle w:val="Hyperlink"/>
            <w:color w:val="auto"/>
          </w:rPr>
          <w:t>http://www.ukconversionfactorscarbonsmart.co.uk/</w:t>
        </w:r>
      </w:hyperlink>
      <w:r w:rsidR="00270E3B">
        <w:t xml:space="preserve"> </w:t>
      </w:r>
    </w:p>
    <w:p w:rsidR="002656C3" w:rsidRPr="006C2F7D" w:rsidRDefault="002656C3" w:rsidP="00704EDD">
      <w:pPr>
        <w:pStyle w:val="References"/>
        <w:jc w:val="left"/>
      </w:pPr>
      <w:r>
        <w:t>Hennessy, W. 2008.</w:t>
      </w:r>
      <w:r w:rsidR="00FB063A">
        <w:t xml:space="preserve"> </w:t>
      </w:r>
      <w:r w:rsidRPr="003E1746">
        <w:rPr>
          <w:i/>
        </w:rPr>
        <w:t>Assessment of HFC Emission Factors for GHG Reporting Guidelines</w:t>
      </w:r>
      <w:r w:rsidRPr="003E1746">
        <w:t xml:space="preserve">. </w:t>
      </w:r>
      <w:r w:rsidRPr="006C2F7D">
        <w:t xml:space="preserve">Prepared for the Ministry for the Environment by </w:t>
      </w:r>
      <w:r>
        <w:t>CRL Energy Ltd. Wellington: M</w:t>
      </w:r>
      <w:r w:rsidRPr="006C2F7D">
        <w:t>inistry for the Environment.</w:t>
      </w:r>
    </w:p>
    <w:p w:rsidR="008D445D" w:rsidRDefault="008D445D" w:rsidP="00704EDD">
      <w:pPr>
        <w:pStyle w:val="References"/>
        <w:jc w:val="left"/>
      </w:pPr>
      <w:r w:rsidRPr="00546CE4">
        <w:t>Intergovernmental Panel on Climate Change</w:t>
      </w:r>
      <w:r>
        <w:t xml:space="preserve">. 2006. </w:t>
      </w:r>
      <w:r w:rsidRPr="008D445D">
        <w:rPr>
          <w:i/>
        </w:rPr>
        <w:t>IPCC Guidelines for National Greenhouse Gas Inventories</w:t>
      </w:r>
      <w:r>
        <w:t>.</w:t>
      </w:r>
      <w:r w:rsidR="00F368F4">
        <w:t xml:space="preserve"> Retrieved from </w:t>
      </w:r>
      <w:hyperlink r:id="rId24" w:history="1">
        <w:r w:rsidR="00F368F4" w:rsidRPr="00CE1116">
          <w:rPr>
            <w:rStyle w:val="Hyperlink"/>
            <w:color w:val="auto"/>
          </w:rPr>
          <w:t>http://www.ipcc-nggip.iges.or.jp/public/2006gl/index.html</w:t>
        </w:r>
      </w:hyperlink>
    </w:p>
    <w:p w:rsidR="009E3385" w:rsidRPr="00E70C1B" w:rsidRDefault="009E3385" w:rsidP="00704EDD">
      <w:pPr>
        <w:pStyle w:val="References"/>
        <w:jc w:val="left"/>
      </w:pPr>
      <w:r w:rsidRPr="00546CE4">
        <w:t>Intergovernmental Panel on Climate Change</w:t>
      </w:r>
      <w:r w:rsidR="00EA7772">
        <w:t>. 2007.</w:t>
      </w:r>
      <w:r>
        <w:t xml:space="preserve"> </w:t>
      </w:r>
      <w:r w:rsidRPr="00E70C1B">
        <w:rPr>
          <w:bCs/>
          <w:i/>
        </w:rPr>
        <w:t>Contribution of Working Group I to the Fourth Assessment Report of the Intergovernmental Panel on Climate Change, 2007</w:t>
      </w:r>
      <w:r>
        <w:rPr>
          <w:bCs/>
          <w:i/>
        </w:rPr>
        <w:t>.</w:t>
      </w:r>
      <w:r>
        <w:rPr>
          <w:bCs/>
        </w:rPr>
        <w:t xml:space="preserve"> Retrieved from </w:t>
      </w:r>
      <w:hyperlink r:id="rId25" w:history="1">
        <w:r w:rsidR="00CE1116" w:rsidRPr="00CE1116">
          <w:rPr>
            <w:rStyle w:val="Hyperlink"/>
            <w:bCs/>
            <w:color w:val="auto"/>
          </w:rPr>
          <w:t>http://www.ipcc.ch/publications_and_data/ar4/wg1/en/contents.html</w:t>
        </w:r>
      </w:hyperlink>
      <w:r w:rsidR="00CE1116" w:rsidRPr="00CE1116">
        <w:rPr>
          <w:bCs/>
        </w:rPr>
        <w:t xml:space="preserve"> </w:t>
      </w:r>
      <w:hyperlink w:history="1"/>
      <w:r w:rsidR="000B4412">
        <w:rPr>
          <w:bCs/>
        </w:rPr>
        <w:t xml:space="preserve">(November </w:t>
      </w:r>
      <w:r w:rsidR="00CC4C7D">
        <w:rPr>
          <w:bCs/>
        </w:rPr>
        <w:t>2011)</w:t>
      </w:r>
    </w:p>
    <w:p w:rsidR="00EC1311" w:rsidRPr="00D043B1" w:rsidRDefault="00EA7772" w:rsidP="00704EDD">
      <w:pPr>
        <w:pStyle w:val="References"/>
        <w:jc w:val="left"/>
      </w:pPr>
      <w:r>
        <w:rPr>
          <w:color w:val="000000"/>
        </w:rPr>
        <w:t xml:space="preserve">International Organization for </w:t>
      </w:r>
      <w:r w:rsidR="00092C35">
        <w:rPr>
          <w:color w:val="000000"/>
        </w:rPr>
        <w:t>Standardization</w:t>
      </w:r>
      <w:r>
        <w:rPr>
          <w:color w:val="000000"/>
        </w:rPr>
        <w:t xml:space="preserve">. 2006. </w:t>
      </w:r>
      <w:r w:rsidR="009E3385" w:rsidRPr="00D043B1">
        <w:rPr>
          <w:i/>
          <w:color w:val="000000"/>
        </w:rPr>
        <w:t>ISO 14064-1:2006.</w:t>
      </w:r>
      <w:r w:rsidR="009E3385" w:rsidRPr="00546CE4">
        <w:rPr>
          <w:color w:val="000000"/>
        </w:rPr>
        <w:t xml:space="preserve"> </w:t>
      </w:r>
      <w:r w:rsidR="009E3385" w:rsidRPr="00546CE4">
        <w:rPr>
          <w:i/>
          <w:color w:val="000000"/>
        </w:rPr>
        <w:t>Greenhouse gases – Part 1 Specification with guidance at the organization level for quantification and reporting of greenhouse gas emissions</w:t>
      </w:r>
      <w:r w:rsidR="00171902">
        <w:rPr>
          <w:i/>
          <w:color w:val="000000"/>
        </w:rPr>
        <w:t xml:space="preserve"> and removals</w:t>
      </w:r>
      <w:r w:rsidR="009E3385" w:rsidRPr="00546CE4">
        <w:rPr>
          <w:color w:val="000000"/>
        </w:rPr>
        <w:t>. Retrieved from</w:t>
      </w:r>
      <w:r w:rsidR="00014366">
        <w:rPr>
          <w:color w:val="000000"/>
        </w:rPr>
        <w:t xml:space="preserve"> </w:t>
      </w:r>
      <w:hyperlink r:id="rId26" w:history="1">
        <w:r w:rsidR="00014366" w:rsidRPr="00CE1116">
          <w:rPr>
            <w:rStyle w:val="Hyperlink"/>
            <w:color w:val="auto"/>
          </w:rPr>
          <w:t>http://www.iso.org/iso/catalogue_detail?csnumber=38381</w:t>
        </w:r>
      </w:hyperlink>
      <w:r w:rsidR="009E3385" w:rsidRPr="00546CE4">
        <w:rPr>
          <w:color w:val="000000"/>
        </w:rPr>
        <w:t>(</w:t>
      </w:r>
      <w:r w:rsidR="00A2313A">
        <w:rPr>
          <w:color w:val="000000"/>
        </w:rPr>
        <w:t>November 2011</w:t>
      </w:r>
      <w:r w:rsidR="009E3385" w:rsidRPr="00546CE4">
        <w:rPr>
          <w:color w:val="000000"/>
        </w:rPr>
        <w:t>)</w:t>
      </w:r>
    </w:p>
    <w:p w:rsidR="00EC1311" w:rsidRPr="0065588F" w:rsidRDefault="009E3385" w:rsidP="00704EDD">
      <w:pPr>
        <w:pStyle w:val="References"/>
        <w:jc w:val="left"/>
      </w:pPr>
      <w:r w:rsidRPr="0065588F">
        <w:t xml:space="preserve">Ministry of </w:t>
      </w:r>
      <w:r w:rsidR="00986901" w:rsidRPr="0065588F">
        <w:t>Business, Innovation, and Employment</w:t>
      </w:r>
      <w:r w:rsidR="00D043B1" w:rsidRPr="0065588F">
        <w:t xml:space="preserve">. </w:t>
      </w:r>
      <w:r w:rsidR="003B300E" w:rsidRPr="0065588F">
        <w:t>201</w:t>
      </w:r>
      <w:r w:rsidR="00D614B6" w:rsidRPr="0065588F">
        <w:t>6</w:t>
      </w:r>
      <w:r w:rsidRPr="0065588F">
        <w:t xml:space="preserve">. </w:t>
      </w:r>
      <w:r w:rsidRPr="0065588F">
        <w:rPr>
          <w:i/>
        </w:rPr>
        <w:t xml:space="preserve">Energy Greenhouse Gas Emissions </w:t>
      </w:r>
      <w:r w:rsidR="003B300E" w:rsidRPr="0065588F">
        <w:rPr>
          <w:i/>
        </w:rPr>
        <w:t>201</w:t>
      </w:r>
      <w:r w:rsidR="00D614B6" w:rsidRPr="0065588F">
        <w:rPr>
          <w:i/>
        </w:rPr>
        <w:t>5</w:t>
      </w:r>
      <w:r w:rsidR="009D4EF0" w:rsidRPr="0065588F">
        <w:rPr>
          <w:i/>
        </w:rPr>
        <w:t>.</w:t>
      </w:r>
      <w:r w:rsidRPr="0065588F">
        <w:t xml:space="preserve"> </w:t>
      </w:r>
      <w:r w:rsidR="005A7A42" w:rsidRPr="0065588F">
        <w:t xml:space="preserve">Wellington: Ministry </w:t>
      </w:r>
      <w:r w:rsidR="00092C35" w:rsidRPr="0065588F">
        <w:t>of</w:t>
      </w:r>
      <w:r w:rsidR="003B300E" w:rsidRPr="0065588F">
        <w:t xml:space="preserve"> Business, Innovation and Employment</w:t>
      </w:r>
      <w:r w:rsidR="005A7A42" w:rsidRPr="0065588F">
        <w:t xml:space="preserve">. </w:t>
      </w:r>
      <w:r w:rsidRPr="0065588F">
        <w:t>Retrieved from</w:t>
      </w:r>
      <w:r w:rsidR="00FB063A" w:rsidRPr="0065588F">
        <w:t xml:space="preserve"> </w:t>
      </w:r>
      <w:r w:rsidR="0093289A" w:rsidRPr="0065588F">
        <w:t>http://www.mbie.govt.nz/info-services/sectors-industries/energy/energy-data-modelling/publications/energy-greenhouse-gas-emissions/?searchterm=greenhouse%20gases%2A</w:t>
      </w:r>
    </w:p>
    <w:p w:rsidR="009E3385" w:rsidRPr="0065588F" w:rsidRDefault="003B309A" w:rsidP="00704EDD">
      <w:pPr>
        <w:pStyle w:val="References"/>
        <w:jc w:val="left"/>
        <w:rPr>
          <w:rStyle w:val="Hyperlink"/>
        </w:rPr>
      </w:pPr>
      <w:r w:rsidRPr="0065588F">
        <w:t>Ministry of Business, Innovation and Employment</w:t>
      </w:r>
      <w:r w:rsidR="005A7A42" w:rsidRPr="0065588F">
        <w:t>.</w:t>
      </w:r>
      <w:r w:rsidR="009949A1" w:rsidRPr="0065588F">
        <w:t xml:space="preserve"> 201</w:t>
      </w:r>
      <w:r w:rsidR="00BE30AF" w:rsidRPr="0065588F">
        <w:t>6</w:t>
      </w:r>
      <w:r w:rsidR="009E3385" w:rsidRPr="0065588F">
        <w:t xml:space="preserve">. </w:t>
      </w:r>
      <w:r w:rsidR="00D97C83" w:rsidRPr="0065588F">
        <w:rPr>
          <w:i/>
        </w:rPr>
        <w:t>Energy in New Zealand 201</w:t>
      </w:r>
      <w:r w:rsidR="00ED3DCC" w:rsidRPr="0065588F">
        <w:rPr>
          <w:i/>
        </w:rPr>
        <w:t>6</w:t>
      </w:r>
      <w:r w:rsidR="009E3385" w:rsidRPr="0065588F">
        <w:t xml:space="preserve">. </w:t>
      </w:r>
      <w:r w:rsidR="005A7A42" w:rsidRPr="0065588F">
        <w:t xml:space="preserve">Wellington: Ministry </w:t>
      </w:r>
      <w:r w:rsidR="00092C35" w:rsidRPr="0065588F">
        <w:t xml:space="preserve">of </w:t>
      </w:r>
      <w:r w:rsidR="00D97C83" w:rsidRPr="0065588F">
        <w:t>Business, Innovation and Employment</w:t>
      </w:r>
      <w:r w:rsidR="005A7A42" w:rsidRPr="0065588F">
        <w:t xml:space="preserve">. </w:t>
      </w:r>
      <w:r w:rsidR="009E3385" w:rsidRPr="0065588F">
        <w:t xml:space="preserve">Retrieved from </w:t>
      </w:r>
      <w:r w:rsidR="00ED3DCC" w:rsidRPr="0065588F">
        <w:t>http://www.mbie.govt.nz/info-services/sectors-industries/energy/energy-data-modelling/publications/energy-in-new-zealand</w:t>
      </w:r>
    </w:p>
    <w:p w:rsidR="000B1B53" w:rsidRPr="00A56619" w:rsidRDefault="000B1B53" w:rsidP="00704EDD">
      <w:pPr>
        <w:pStyle w:val="References"/>
        <w:jc w:val="left"/>
        <w:rPr>
          <w:rStyle w:val="Hyperlink"/>
          <w:color w:val="000000"/>
        </w:rPr>
      </w:pPr>
      <w:r w:rsidRPr="0065588F">
        <w:rPr>
          <w:rStyle w:val="Hyperlink"/>
          <w:color w:val="auto"/>
        </w:rPr>
        <w:t xml:space="preserve">Real-world fuel efficiency of light vehicles in New Zealand. 2015. Wang H, </w:t>
      </w:r>
      <w:proofErr w:type="spellStart"/>
      <w:r w:rsidRPr="0065588F">
        <w:rPr>
          <w:rStyle w:val="Hyperlink"/>
          <w:color w:val="auto"/>
        </w:rPr>
        <w:t>McGlinchy</w:t>
      </w:r>
      <w:proofErr w:type="spellEnd"/>
      <w:r w:rsidRPr="0065588F">
        <w:rPr>
          <w:rStyle w:val="Hyperlink"/>
          <w:color w:val="auto"/>
        </w:rPr>
        <w:t xml:space="preserve"> I, Badger S,</w:t>
      </w:r>
      <w:r w:rsidR="005E3550" w:rsidRPr="0065588F">
        <w:rPr>
          <w:rStyle w:val="Hyperlink"/>
          <w:color w:val="auto"/>
        </w:rPr>
        <w:t xml:space="preserve"> Wheaton S. Ministry of Transport. Retrieved from </w:t>
      </w:r>
      <w:hyperlink r:id="rId27" w:history="1">
        <w:r w:rsidR="005E3550" w:rsidRPr="0065588F">
          <w:rPr>
            <w:rStyle w:val="Hyperlink"/>
            <w:color w:val="auto"/>
          </w:rPr>
          <w:t>http://atrf.info/papers/2015/files/ATRF2015_Resubmission_9.pdf</w:t>
        </w:r>
      </w:hyperlink>
    </w:p>
    <w:p w:rsidR="00EC1311" w:rsidRDefault="009E3385" w:rsidP="00704EDD">
      <w:pPr>
        <w:pStyle w:val="References"/>
        <w:jc w:val="left"/>
      </w:pPr>
      <w:r w:rsidRPr="009F68FB">
        <w:t>World Business Council for Sustainable Development/World Resources Institute</w:t>
      </w:r>
      <w:r w:rsidR="005A7A42">
        <w:t>.</w:t>
      </w:r>
      <w:r w:rsidRPr="009F68FB">
        <w:t xml:space="preserve"> 2004. </w:t>
      </w:r>
      <w:r w:rsidRPr="009F68FB">
        <w:rPr>
          <w:i/>
        </w:rPr>
        <w:t>Greenhouse Gas Protocol: A Corporate Accounting and Reporting Standard</w:t>
      </w:r>
      <w:r w:rsidR="004B1A44">
        <w:t xml:space="preserve">. Retrieved </w:t>
      </w:r>
      <w:r w:rsidRPr="009F68FB">
        <w:t xml:space="preserve">from </w:t>
      </w:r>
      <w:hyperlink r:id="rId28" w:history="1">
        <w:r w:rsidR="004B1A44">
          <w:t>http://www.ghgprotocol.org/standards</w:t>
        </w:r>
      </w:hyperlink>
      <w:r w:rsidR="004B1A44">
        <w:t xml:space="preserve"> </w:t>
      </w:r>
    </w:p>
    <w:p w:rsidR="00884E29" w:rsidRPr="00B50870" w:rsidRDefault="00B50870" w:rsidP="00704EDD">
      <w:pPr>
        <w:jc w:val="left"/>
        <w:rPr>
          <w:sz w:val="20"/>
        </w:rPr>
      </w:pPr>
      <w:r w:rsidRPr="009F68FB">
        <w:rPr>
          <w:sz w:val="20"/>
        </w:rPr>
        <w:t xml:space="preserve">World </w:t>
      </w:r>
      <w:r w:rsidR="0075136B" w:rsidRPr="009F68FB">
        <w:rPr>
          <w:sz w:val="20"/>
        </w:rPr>
        <w:t xml:space="preserve">Resources Institute and World </w:t>
      </w:r>
      <w:r w:rsidRPr="009F68FB">
        <w:rPr>
          <w:sz w:val="20"/>
        </w:rPr>
        <w:t>Business Council for Sustainable Development</w:t>
      </w:r>
      <w:r w:rsidR="005A7A42">
        <w:rPr>
          <w:sz w:val="20"/>
        </w:rPr>
        <w:t>.</w:t>
      </w:r>
      <w:r w:rsidRPr="009F68FB">
        <w:rPr>
          <w:sz w:val="20"/>
        </w:rPr>
        <w:t xml:space="preserve"> 2005. </w:t>
      </w:r>
      <w:r w:rsidRPr="009F68FB">
        <w:rPr>
          <w:i/>
          <w:sz w:val="20"/>
        </w:rPr>
        <w:t>Greenhouse Gas Protocol HFC Tool</w:t>
      </w:r>
      <w:r w:rsidR="00823630" w:rsidRPr="009F68FB">
        <w:rPr>
          <w:i/>
          <w:sz w:val="20"/>
        </w:rPr>
        <w:t>: Calculating HFC and PFC Emissions from the Manufacturing, Installation, Operation and Disposal of Refrigeration and Air-conditioning Equipment (version 1.0) Workbook and Guide.</w:t>
      </w:r>
      <w:r w:rsidRPr="009F68FB">
        <w:rPr>
          <w:sz w:val="20"/>
        </w:rPr>
        <w:t xml:space="preserve"> Retrieved from </w:t>
      </w:r>
      <w:hyperlink r:id="rId29" w:history="1">
        <w:r w:rsidR="00AF78C3" w:rsidRPr="004B1A44">
          <w:rPr>
            <w:rStyle w:val="Hyperlink"/>
            <w:color w:val="auto"/>
            <w:sz w:val="20"/>
          </w:rPr>
          <w:t>http://www.ghgprotocol.org/calculation-tools/all-tools</w:t>
        </w:r>
      </w:hyperlink>
    </w:p>
    <w:p w:rsidR="00A05EF5" w:rsidRDefault="009E3385" w:rsidP="00884E29">
      <w:pPr>
        <w:pStyle w:val="Heading1"/>
        <w:ind w:left="0" w:firstLine="0"/>
      </w:pPr>
      <w:r w:rsidRPr="000F1882">
        <w:br w:type="page"/>
      </w:r>
      <w:bookmarkStart w:id="203" w:name="_Toc210026938"/>
      <w:bookmarkStart w:id="204" w:name="_Toc289083974"/>
    </w:p>
    <w:p w:rsidR="009E3385" w:rsidRPr="000F1882" w:rsidRDefault="009E3385" w:rsidP="00704EDD">
      <w:pPr>
        <w:pStyle w:val="Heading1"/>
        <w:ind w:left="0" w:firstLine="0"/>
      </w:pPr>
      <w:bookmarkStart w:id="205" w:name="_Toc469577184"/>
      <w:r w:rsidRPr="000F1882">
        <w:lastRenderedPageBreak/>
        <w:t>Appendix</w:t>
      </w:r>
      <w:r>
        <w:t xml:space="preserve"> </w:t>
      </w:r>
      <w:r w:rsidR="00312CEC">
        <w:t>A</w:t>
      </w:r>
      <w:r w:rsidRPr="000F1882">
        <w:t>: Derivation of fuel emission factors</w:t>
      </w:r>
      <w:bookmarkEnd w:id="203"/>
      <w:bookmarkEnd w:id="204"/>
      <w:bookmarkEnd w:id="205"/>
    </w:p>
    <w:p w:rsidR="009E3385" w:rsidRPr="000F1882" w:rsidRDefault="009E3385" w:rsidP="00704EDD">
      <w:pPr>
        <w:pStyle w:val="Heading4"/>
        <w:spacing w:before="0"/>
        <w:jc w:val="left"/>
      </w:pPr>
      <w:bookmarkStart w:id="206" w:name="_Toc185407860"/>
      <w:bookmarkStart w:id="207" w:name="_Toc185408076"/>
      <w:bookmarkStart w:id="208" w:name="_Toc209933002"/>
      <w:bookmarkStart w:id="209" w:name="_Toc210026939"/>
      <w:bookmarkStart w:id="210" w:name="_Toc242242685"/>
      <w:bookmarkStart w:id="211" w:name="_Toc242242929"/>
      <w:r w:rsidRPr="000F1882">
        <w:t>Importance of calorific value</w:t>
      </w:r>
      <w:bookmarkEnd w:id="206"/>
      <w:bookmarkEnd w:id="207"/>
      <w:bookmarkEnd w:id="208"/>
      <w:bookmarkEnd w:id="209"/>
      <w:bookmarkEnd w:id="210"/>
      <w:bookmarkEnd w:id="211"/>
    </w:p>
    <w:p w:rsidR="00EC1311" w:rsidRDefault="009E3385" w:rsidP="00704EDD">
      <w:pPr>
        <w:jc w:val="left"/>
      </w:pPr>
      <w:r w:rsidRPr="000F1882">
        <w:t>Because the energy content of fuels may vary within and between fuel types, emission factors are commonly expressed in terms of energy units (</w:t>
      </w:r>
      <w:proofErr w:type="spellStart"/>
      <w:r w:rsidRPr="000F1882">
        <w:t>eg</w:t>
      </w:r>
      <w:proofErr w:type="spellEnd"/>
      <w:r w:rsidRPr="000F1882">
        <w:t>, tonnes CO</w:t>
      </w:r>
      <w:r w:rsidRPr="000F1882">
        <w:rPr>
          <w:szCs w:val="22"/>
          <w:vertAlign w:val="subscript"/>
        </w:rPr>
        <w:t>2</w:t>
      </w:r>
      <w:r w:rsidRPr="000F1882">
        <w:t>/TJ). This generally provides more accurate emissions estimates than if emission factors are expressed in terms of mass or volume. Converting to emission factors expressed in terms of mass or volume (</w:t>
      </w:r>
      <w:proofErr w:type="spellStart"/>
      <w:r w:rsidRPr="000F1882">
        <w:t>eg</w:t>
      </w:r>
      <w:proofErr w:type="spellEnd"/>
      <w:r w:rsidRPr="000F1882">
        <w:t>, kg CO</w:t>
      </w:r>
      <w:r w:rsidRPr="000F1882">
        <w:rPr>
          <w:szCs w:val="22"/>
          <w:vertAlign w:val="subscript"/>
        </w:rPr>
        <w:t>2</w:t>
      </w:r>
      <w:r w:rsidRPr="000F1882">
        <w:noBreakHyphen/>
        <w:t>e/litre) requires an assumption around which default calorific value should be used.</w:t>
      </w:r>
    </w:p>
    <w:p w:rsidR="009E3385" w:rsidRPr="000F1882" w:rsidRDefault="009E3385" w:rsidP="00704EDD">
      <w:pPr>
        <w:jc w:val="left"/>
      </w:pPr>
    </w:p>
    <w:p w:rsidR="009E3385" w:rsidRPr="000F1882" w:rsidRDefault="009E3385" w:rsidP="00704EDD">
      <w:pPr>
        <w:jc w:val="left"/>
      </w:pPr>
      <w:r w:rsidRPr="000F1882">
        <w:t>It is therefore useful to show how the per</w:t>
      </w:r>
      <w:r w:rsidR="00A56619">
        <w:t>-</w:t>
      </w:r>
      <w:r w:rsidRPr="000F1882">
        <w:t>activity unit (</w:t>
      </w:r>
      <w:proofErr w:type="spellStart"/>
      <w:r w:rsidRPr="000F1882">
        <w:t>eg</w:t>
      </w:r>
      <w:proofErr w:type="spellEnd"/>
      <w:r w:rsidRPr="000F1882">
        <w:t>, kg CO</w:t>
      </w:r>
      <w:r w:rsidRPr="000F1882">
        <w:rPr>
          <w:szCs w:val="22"/>
          <w:vertAlign w:val="subscript"/>
        </w:rPr>
        <w:t>2</w:t>
      </w:r>
      <w:r w:rsidRPr="000F1882">
        <w:t xml:space="preserve">-e/litre) emission factors have been derived, and which calorific values have been used. It is important to note that if you are able to obtain fuel use information in energy units, or know the specific calorific value of the fuel which you are using, then you can calculate your emissions more accurately. All calorific values </w:t>
      </w:r>
      <w:r>
        <w:t xml:space="preserve">have been provided by the Ministry of </w:t>
      </w:r>
      <w:r w:rsidR="002E649A">
        <w:t xml:space="preserve">Business, </w:t>
      </w:r>
      <w:r w:rsidR="007A453E">
        <w:t>Innovation</w:t>
      </w:r>
      <w:r w:rsidR="002E649A">
        <w:t xml:space="preserve">, and </w:t>
      </w:r>
      <w:r w:rsidR="007A453E">
        <w:t>Employment</w:t>
      </w:r>
      <w:r>
        <w:t xml:space="preserve">. Calorific values are provided in the </w:t>
      </w:r>
      <w:r w:rsidR="000D3DD2">
        <w:rPr>
          <w:i/>
        </w:rPr>
        <w:t>Energy in New Zealand 201</w:t>
      </w:r>
      <w:r w:rsidR="00496F90">
        <w:rPr>
          <w:i/>
        </w:rPr>
        <w:t>6</w:t>
      </w:r>
      <w:r w:rsidR="00A20116">
        <w:rPr>
          <w:i/>
        </w:rPr>
        <w:t xml:space="preserve"> </w:t>
      </w:r>
      <w:r w:rsidR="00A20116">
        <w:t>publication</w:t>
      </w:r>
      <w:r>
        <w:t>, but some calorific values used here have been updated since that publication.</w:t>
      </w:r>
      <w:r w:rsidR="00033C40">
        <w:t xml:space="preserve"> </w:t>
      </w:r>
    </w:p>
    <w:p w:rsidR="009E3385" w:rsidRPr="000F1882" w:rsidRDefault="009E3385" w:rsidP="00704EDD">
      <w:pPr>
        <w:jc w:val="left"/>
      </w:pPr>
    </w:p>
    <w:p w:rsidR="009E3385" w:rsidRPr="000F1882" w:rsidRDefault="009E3385" w:rsidP="00704EDD">
      <w:pPr>
        <w:jc w:val="left"/>
      </w:pPr>
      <w:r w:rsidRPr="000F1882">
        <w:t>Note that gross calorific values have been used.</w:t>
      </w:r>
    </w:p>
    <w:p w:rsidR="009E3385" w:rsidRPr="000F1882" w:rsidRDefault="009E3385" w:rsidP="00704EDD">
      <w:pPr>
        <w:jc w:val="left"/>
      </w:pPr>
    </w:p>
    <w:p w:rsidR="009E3385" w:rsidRPr="000F1882" w:rsidRDefault="009E3385" w:rsidP="00704EDD">
      <w:pPr>
        <w:pStyle w:val="Heading4"/>
        <w:jc w:val="left"/>
      </w:pPr>
      <w:bookmarkStart w:id="212" w:name="_Toc208296248"/>
      <w:bookmarkStart w:id="213" w:name="_Toc208296379"/>
      <w:bookmarkStart w:id="214" w:name="_Toc208296469"/>
      <w:bookmarkStart w:id="215" w:name="_Toc185407861"/>
      <w:bookmarkStart w:id="216" w:name="_Toc185408077"/>
      <w:bookmarkStart w:id="217" w:name="_Toc209933003"/>
      <w:bookmarkStart w:id="218" w:name="_Toc210026940"/>
      <w:bookmarkStart w:id="219" w:name="_Toc242242686"/>
      <w:bookmarkStart w:id="220" w:name="_Toc242242930"/>
      <w:bookmarkEnd w:id="212"/>
      <w:bookmarkEnd w:id="213"/>
      <w:bookmarkEnd w:id="214"/>
      <w:r w:rsidRPr="000F1882">
        <w:t>CH</w:t>
      </w:r>
      <w:r w:rsidRPr="000F1882">
        <w:rPr>
          <w:szCs w:val="28"/>
          <w:vertAlign w:val="subscript"/>
        </w:rPr>
        <w:t>4</w:t>
      </w:r>
      <w:r w:rsidRPr="000F1882">
        <w:t xml:space="preserve"> and N</w:t>
      </w:r>
      <w:r w:rsidRPr="000F1882">
        <w:rPr>
          <w:szCs w:val="28"/>
          <w:vertAlign w:val="subscript"/>
        </w:rPr>
        <w:t>2</w:t>
      </w:r>
      <w:r w:rsidRPr="000F1882">
        <w:t>O emission factors used</w:t>
      </w:r>
      <w:bookmarkEnd w:id="215"/>
      <w:bookmarkEnd w:id="216"/>
      <w:r w:rsidRPr="000F1882">
        <w:t xml:space="preserve"> in this guide</w:t>
      </w:r>
      <w:bookmarkEnd w:id="217"/>
      <w:bookmarkEnd w:id="218"/>
      <w:bookmarkEnd w:id="219"/>
      <w:bookmarkEnd w:id="220"/>
    </w:p>
    <w:p w:rsidR="009E3385" w:rsidRPr="000F1882" w:rsidRDefault="00457FAB" w:rsidP="00704EDD">
      <w:pPr>
        <w:jc w:val="left"/>
      </w:pPr>
      <w:r>
        <w:t>A</w:t>
      </w:r>
      <w:r w:rsidR="009E3385" w:rsidRPr="000F1882">
        <w:t>lthough CO</w:t>
      </w:r>
      <w:r w:rsidR="009E3385" w:rsidRPr="000F1882">
        <w:rPr>
          <w:vertAlign w:val="subscript"/>
        </w:rPr>
        <w:t>2</w:t>
      </w:r>
      <w:r w:rsidR="009E3385" w:rsidRPr="000F1882">
        <w:t xml:space="preserve"> emissions remain constant regardless of the way in which a fuel is combusted, CH</w:t>
      </w:r>
      <w:r w:rsidR="009E3385" w:rsidRPr="000F1882">
        <w:rPr>
          <w:szCs w:val="22"/>
          <w:vertAlign w:val="subscript"/>
        </w:rPr>
        <w:t>4</w:t>
      </w:r>
      <w:r w:rsidR="009E3385" w:rsidRPr="000F1882">
        <w:t xml:space="preserve"> and N</w:t>
      </w:r>
      <w:r w:rsidR="009E3385" w:rsidRPr="000F1882">
        <w:rPr>
          <w:szCs w:val="22"/>
          <w:vertAlign w:val="subscript"/>
        </w:rPr>
        <w:t>2</w:t>
      </w:r>
      <w:r w:rsidR="009E3385" w:rsidRPr="000F1882">
        <w:t>O emissions depend on the precise nature of the activity in which the fuel is being combusted. The emission factors for CH</w:t>
      </w:r>
      <w:r w:rsidR="009E3385" w:rsidRPr="000F1882">
        <w:rPr>
          <w:szCs w:val="22"/>
          <w:vertAlign w:val="subscript"/>
        </w:rPr>
        <w:t>4</w:t>
      </w:r>
      <w:r w:rsidR="009E3385" w:rsidRPr="000F1882">
        <w:t xml:space="preserve"> and N</w:t>
      </w:r>
      <w:r w:rsidR="009E3385" w:rsidRPr="000F1882">
        <w:rPr>
          <w:szCs w:val="22"/>
          <w:vertAlign w:val="subscript"/>
        </w:rPr>
        <w:t>2</w:t>
      </w:r>
      <w:r w:rsidR="009E3385" w:rsidRPr="000F1882">
        <w:t xml:space="preserve">O therefore vary depending on the combustion process. </w:t>
      </w:r>
      <w:r w:rsidR="00884E29">
        <w:t xml:space="preserve">Table </w:t>
      </w:r>
      <w:r w:rsidR="00660096">
        <w:t>10</w:t>
      </w:r>
      <w:r w:rsidR="00660096" w:rsidRPr="000F1882">
        <w:t xml:space="preserve"> </w:t>
      </w:r>
      <w:r w:rsidR="009E3385" w:rsidRPr="000F1882">
        <w:t>shows the default CH</w:t>
      </w:r>
      <w:r w:rsidR="009E3385" w:rsidRPr="000F1882">
        <w:rPr>
          <w:szCs w:val="22"/>
          <w:vertAlign w:val="subscript"/>
        </w:rPr>
        <w:t>4</w:t>
      </w:r>
      <w:r w:rsidR="009E3385" w:rsidRPr="000F1882">
        <w:t xml:space="preserve"> and N</w:t>
      </w:r>
      <w:r w:rsidR="009E3385" w:rsidRPr="000F1882">
        <w:rPr>
          <w:szCs w:val="22"/>
          <w:vertAlign w:val="subscript"/>
        </w:rPr>
        <w:t>2</w:t>
      </w:r>
      <w:r w:rsidR="009E3385" w:rsidRPr="000F1882">
        <w:t>O emission factors (expressed in terms of energy units) which have been used in this guide. The calculations below show how these have been converted to per activity unit (</w:t>
      </w:r>
      <w:proofErr w:type="spellStart"/>
      <w:r w:rsidR="009E3385" w:rsidRPr="000F1882">
        <w:t>eg</w:t>
      </w:r>
      <w:proofErr w:type="spellEnd"/>
      <w:r w:rsidR="009E3385" w:rsidRPr="000F1882">
        <w:t>, kg CO</w:t>
      </w:r>
      <w:r w:rsidR="009E3385" w:rsidRPr="000F1882">
        <w:rPr>
          <w:szCs w:val="22"/>
          <w:vertAlign w:val="subscript"/>
        </w:rPr>
        <w:t>2</w:t>
      </w:r>
      <w:r w:rsidR="009E3385" w:rsidRPr="000F1882">
        <w:t xml:space="preserve">-e/kg) emission factors. All emission factors contained in </w:t>
      </w:r>
      <w:r w:rsidR="00EB1450">
        <w:t>table</w:t>
      </w:r>
      <w:r w:rsidR="00884E29">
        <w:t xml:space="preserve"> </w:t>
      </w:r>
      <w:r w:rsidR="002C2D20">
        <w:t>10</w:t>
      </w:r>
      <w:r w:rsidR="002C2D20" w:rsidRPr="000F1882">
        <w:t xml:space="preserve"> </w:t>
      </w:r>
      <w:r w:rsidR="009E3385">
        <w:t xml:space="preserve">have been provided by the Ministry of </w:t>
      </w:r>
      <w:r w:rsidR="00DF60F5">
        <w:t>Business, Innovation, and Employment</w:t>
      </w:r>
      <w:r w:rsidR="009E3385">
        <w:t>.</w:t>
      </w:r>
    </w:p>
    <w:p w:rsidR="009E3385" w:rsidRPr="000F1882" w:rsidRDefault="009E3385" w:rsidP="00704EDD">
      <w:pPr>
        <w:jc w:val="left"/>
      </w:pPr>
    </w:p>
    <w:p w:rsidR="009E3385" w:rsidRPr="000F1882" w:rsidRDefault="009E3385" w:rsidP="00704EDD">
      <w:pPr>
        <w:jc w:val="left"/>
      </w:pPr>
      <w:r w:rsidRPr="000F1882">
        <w:t>Note that gross emission factors have been used.</w:t>
      </w:r>
    </w:p>
    <w:p w:rsidR="009E3385" w:rsidRPr="000F1882" w:rsidRDefault="009E3385" w:rsidP="00704EDD">
      <w:pPr>
        <w:jc w:val="left"/>
      </w:pPr>
    </w:p>
    <w:p w:rsidR="009E3385" w:rsidRPr="000F1882" w:rsidRDefault="009E3385" w:rsidP="00704EDD">
      <w:pPr>
        <w:pStyle w:val="Heading4"/>
        <w:jc w:val="left"/>
      </w:pPr>
      <w:bookmarkStart w:id="221" w:name="_Toc185407862"/>
      <w:bookmarkStart w:id="222" w:name="_Toc185408078"/>
      <w:bookmarkStart w:id="223" w:name="_Toc209933004"/>
      <w:bookmarkStart w:id="224" w:name="_Toc210026941"/>
      <w:bookmarkStart w:id="225" w:name="_Toc242242687"/>
      <w:bookmarkStart w:id="226" w:name="_Toc242242931"/>
      <w:r w:rsidRPr="000F1882">
        <w:t xml:space="preserve">Oxidation factors used in this </w:t>
      </w:r>
      <w:bookmarkEnd w:id="221"/>
      <w:bookmarkEnd w:id="222"/>
      <w:bookmarkEnd w:id="223"/>
      <w:r w:rsidRPr="000F1882">
        <w:t>guide</w:t>
      </w:r>
      <w:bookmarkEnd w:id="224"/>
      <w:bookmarkEnd w:id="225"/>
      <w:bookmarkEnd w:id="226"/>
    </w:p>
    <w:p w:rsidR="009E3385" w:rsidRPr="000F1882" w:rsidRDefault="009E3385" w:rsidP="00704EDD">
      <w:pPr>
        <w:jc w:val="left"/>
      </w:pPr>
      <w:r w:rsidRPr="000F1882">
        <w:t xml:space="preserve">All oxidation factors </w:t>
      </w:r>
      <w:r>
        <w:t xml:space="preserve">used </w:t>
      </w:r>
      <w:r w:rsidRPr="000F1882">
        <w:t xml:space="preserve">are sourced from </w:t>
      </w:r>
      <w:r>
        <w:t xml:space="preserve">the </w:t>
      </w:r>
      <w:r w:rsidR="00496F90" w:rsidRPr="008D445D">
        <w:rPr>
          <w:i/>
        </w:rPr>
        <w:t>IPCC Guidelines for National Greenhouse Gas Inventories</w:t>
      </w:r>
      <w:r w:rsidR="00496F90">
        <w:rPr>
          <w:i/>
        </w:rPr>
        <w:t xml:space="preserve"> (2006)</w:t>
      </w:r>
      <w:r w:rsidRPr="000F1882">
        <w:t xml:space="preserve">. Oxidation factors have </w:t>
      </w:r>
      <w:r w:rsidR="00457FAB">
        <w:t xml:space="preserve">only </w:t>
      </w:r>
      <w:r w:rsidRPr="000F1882">
        <w:t>been applied to the CO</w:t>
      </w:r>
      <w:r w:rsidRPr="000F1882">
        <w:rPr>
          <w:szCs w:val="22"/>
          <w:vertAlign w:val="subscript"/>
        </w:rPr>
        <w:t>2</w:t>
      </w:r>
      <w:r w:rsidRPr="00100C16">
        <w:rPr>
          <w:szCs w:val="22"/>
        </w:rPr>
        <w:t xml:space="preserve"> </w:t>
      </w:r>
      <w:r w:rsidRPr="000F1882">
        <w:t>emission factors (and therefore by default to the CO</w:t>
      </w:r>
      <w:r w:rsidRPr="000F1882">
        <w:rPr>
          <w:szCs w:val="22"/>
          <w:vertAlign w:val="subscript"/>
        </w:rPr>
        <w:t>2</w:t>
      </w:r>
      <w:r w:rsidRPr="000F1882">
        <w:t>-e emission factors) and have not been applied to the CH</w:t>
      </w:r>
      <w:r w:rsidRPr="000F1882">
        <w:rPr>
          <w:szCs w:val="22"/>
          <w:vertAlign w:val="subscript"/>
        </w:rPr>
        <w:t>4</w:t>
      </w:r>
      <w:r w:rsidRPr="000F1882">
        <w:t xml:space="preserve"> and N</w:t>
      </w:r>
      <w:r w:rsidRPr="000F1882">
        <w:rPr>
          <w:szCs w:val="22"/>
          <w:vertAlign w:val="subscript"/>
        </w:rPr>
        <w:t>2</w:t>
      </w:r>
      <w:r w:rsidRPr="000F1882">
        <w:t xml:space="preserve">O emission factors. This approach is consistent to that adopted by </w:t>
      </w:r>
      <w:r w:rsidR="007B5351">
        <w:t xml:space="preserve">New Zealand’s </w:t>
      </w:r>
      <w:r w:rsidR="00B46012">
        <w:t xml:space="preserve">national </w:t>
      </w:r>
      <w:r w:rsidR="007B5351">
        <w:t>GHG</w:t>
      </w:r>
      <w:r w:rsidRPr="000F1882">
        <w:t xml:space="preserve"> </w:t>
      </w:r>
      <w:r w:rsidR="00B46012">
        <w:t>i</w:t>
      </w:r>
      <w:r w:rsidRPr="000F1882">
        <w:t>nventory.</w:t>
      </w:r>
    </w:p>
    <w:p w:rsidR="009E3385" w:rsidRPr="000F1882" w:rsidRDefault="009E3385" w:rsidP="00704EDD">
      <w:pPr>
        <w:jc w:val="left"/>
      </w:pPr>
    </w:p>
    <w:p w:rsidR="00EC1311" w:rsidRDefault="001161BB" w:rsidP="00884E29">
      <w:pPr>
        <w:pStyle w:val="Heading4"/>
      </w:pPr>
      <w:bookmarkStart w:id="227" w:name="_Toc209933005"/>
      <w:bookmarkStart w:id="228" w:name="_Toc210026942"/>
      <w:bookmarkStart w:id="229" w:name="_Toc242242688"/>
      <w:bookmarkStart w:id="230" w:name="_Toc242242932"/>
      <w:r>
        <w:br w:type="page"/>
      </w:r>
      <w:r w:rsidR="009E3385" w:rsidRPr="000F1882">
        <w:lastRenderedPageBreak/>
        <w:t>Reference data</w:t>
      </w:r>
      <w:bookmarkEnd w:id="227"/>
      <w:bookmarkEnd w:id="228"/>
      <w:bookmarkEnd w:id="229"/>
      <w:bookmarkEnd w:id="230"/>
    </w:p>
    <w:p w:rsidR="009E3385" w:rsidRDefault="009E3385" w:rsidP="00884E29">
      <w:pPr>
        <w:pStyle w:val="Table"/>
      </w:pPr>
      <w:bookmarkStart w:id="231" w:name="_Ref185304681"/>
      <w:bookmarkStart w:id="232" w:name="_Toc210024156"/>
      <w:bookmarkStart w:id="233" w:name="_Toc289084091"/>
      <w:bookmarkStart w:id="234" w:name="_Toc469577149"/>
      <w:r w:rsidRPr="001161BB">
        <w:t xml:space="preserve">Table </w:t>
      </w:r>
      <w:bookmarkEnd w:id="231"/>
      <w:r w:rsidR="002C2D20">
        <w:t>1</w:t>
      </w:r>
      <w:r w:rsidR="004117B6">
        <w:t>1</w:t>
      </w:r>
      <w:r w:rsidRPr="001161BB">
        <w:t>:</w:t>
      </w:r>
      <w:r w:rsidRPr="001161BB">
        <w:tab/>
        <w:t xml:space="preserve">Underlying data used to derive the </w:t>
      </w:r>
      <w:r w:rsidR="00D868FC">
        <w:t>fuel combustion</w:t>
      </w:r>
      <w:r w:rsidRPr="001161BB">
        <w:t xml:space="preserve"> emission factors – </w:t>
      </w:r>
      <w:bookmarkEnd w:id="232"/>
      <w:bookmarkEnd w:id="233"/>
      <w:r w:rsidR="007A453E">
        <w:t>201</w:t>
      </w:r>
      <w:r w:rsidR="00622647">
        <w:t>4</w:t>
      </w:r>
      <w:bookmarkEnd w:id="234"/>
    </w:p>
    <w:tbl>
      <w:tblPr>
        <w:tblW w:w="8622" w:type="dxa"/>
        <w:tblInd w:w="98" w:type="dxa"/>
        <w:tblLook w:val="04A0" w:firstRow="1" w:lastRow="0" w:firstColumn="1" w:lastColumn="0" w:noHBand="0" w:noVBand="1"/>
      </w:tblPr>
      <w:tblGrid>
        <w:gridCol w:w="1476"/>
        <w:gridCol w:w="1069"/>
        <w:gridCol w:w="562"/>
        <w:gridCol w:w="1020"/>
        <w:gridCol w:w="1467"/>
        <w:gridCol w:w="1465"/>
        <w:gridCol w:w="1563"/>
      </w:tblGrid>
      <w:tr w:rsidR="00B514B3" w:rsidRPr="008A7D76" w:rsidTr="00680FA7">
        <w:trPr>
          <w:cantSplit/>
          <w:trHeight w:val="264"/>
        </w:trPr>
        <w:tc>
          <w:tcPr>
            <w:tcW w:w="1479"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bottom"/>
            <w:hideMark/>
          </w:tcPr>
          <w:p w:rsidR="008A7D76" w:rsidRPr="008A7D76" w:rsidRDefault="008A7D76" w:rsidP="008A7D76">
            <w:pPr>
              <w:jc w:val="left"/>
              <w:rPr>
                <w:rFonts w:ascii="Arial" w:hAnsi="Arial" w:cs="Arial"/>
                <w:b/>
                <w:bCs/>
                <w:sz w:val="16"/>
                <w:szCs w:val="16"/>
                <w:lang w:eastAsia="en-NZ"/>
              </w:rPr>
            </w:pPr>
            <w:r w:rsidRPr="008A7D76">
              <w:rPr>
                <w:rFonts w:ascii="Arial" w:hAnsi="Arial" w:cs="Arial"/>
                <w:b/>
                <w:bCs/>
                <w:sz w:val="16"/>
                <w:szCs w:val="16"/>
                <w:lang w:eastAsia="en-NZ"/>
              </w:rPr>
              <w:t>Emission source</w:t>
            </w:r>
          </w:p>
        </w:tc>
        <w:tc>
          <w:tcPr>
            <w:tcW w:w="1061"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bottom"/>
            <w:hideMark/>
          </w:tcPr>
          <w:p w:rsidR="008A7D76" w:rsidRPr="008A7D76" w:rsidRDefault="008A7D76" w:rsidP="008A7D76">
            <w:pPr>
              <w:jc w:val="left"/>
              <w:rPr>
                <w:rFonts w:ascii="Arial" w:hAnsi="Arial" w:cs="Arial"/>
                <w:b/>
                <w:bCs/>
                <w:sz w:val="16"/>
                <w:szCs w:val="16"/>
                <w:lang w:eastAsia="en-NZ"/>
              </w:rPr>
            </w:pPr>
            <w:r w:rsidRPr="008A7D76">
              <w:rPr>
                <w:rFonts w:ascii="Arial" w:hAnsi="Arial" w:cs="Arial"/>
                <w:b/>
                <w:bCs/>
                <w:sz w:val="16"/>
                <w:szCs w:val="16"/>
                <w:lang w:eastAsia="en-NZ"/>
              </w:rPr>
              <w:t>User</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bottom"/>
            <w:hideMark/>
          </w:tcPr>
          <w:p w:rsidR="008A7D76" w:rsidRPr="008A7D76" w:rsidRDefault="008A7D76" w:rsidP="008A7D76">
            <w:pPr>
              <w:jc w:val="left"/>
              <w:rPr>
                <w:rFonts w:ascii="Arial" w:hAnsi="Arial" w:cs="Arial"/>
                <w:b/>
                <w:bCs/>
                <w:sz w:val="16"/>
                <w:szCs w:val="16"/>
                <w:lang w:eastAsia="en-NZ"/>
              </w:rPr>
            </w:pPr>
            <w:r w:rsidRPr="008A7D76">
              <w:rPr>
                <w:rFonts w:ascii="Arial" w:hAnsi="Arial" w:cs="Arial"/>
                <w:b/>
                <w:bCs/>
                <w:sz w:val="16"/>
                <w:szCs w:val="16"/>
                <w:lang w:eastAsia="en-NZ"/>
              </w:rPr>
              <w:t>Unit</w:t>
            </w:r>
          </w:p>
        </w:tc>
        <w:tc>
          <w:tcPr>
            <w:tcW w:w="1021" w:type="dxa"/>
            <w:tcBorders>
              <w:top w:val="single" w:sz="8" w:space="0" w:color="auto"/>
              <w:left w:val="nil"/>
              <w:bottom w:val="nil"/>
              <w:right w:val="single" w:sz="8" w:space="0" w:color="auto"/>
            </w:tcBorders>
            <w:shd w:val="clear" w:color="000000" w:fill="D9D9D9"/>
            <w:noWrap/>
            <w:vAlign w:val="bottom"/>
            <w:hideMark/>
          </w:tcPr>
          <w:p w:rsidR="008A7D76" w:rsidRPr="008A7D76" w:rsidRDefault="008A7D76" w:rsidP="008A7D76">
            <w:pPr>
              <w:jc w:val="center"/>
              <w:rPr>
                <w:rFonts w:ascii="Arial" w:hAnsi="Arial" w:cs="Arial"/>
                <w:b/>
                <w:bCs/>
                <w:sz w:val="16"/>
                <w:szCs w:val="16"/>
                <w:lang w:eastAsia="en-NZ"/>
              </w:rPr>
            </w:pPr>
            <w:r w:rsidRPr="008A7D76">
              <w:rPr>
                <w:rFonts w:ascii="Arial" w:hAnsi="Arial" w:cs="Arial"/>
                <w:b/>
                <w:bCs/>
                <w:sz w:val="16"/>
                <w:szCs w:val="16"/>
                <w:lang w:eastAsia="en-NZ"/>
              </w:rPr>
              <w:t>Calorific value</w:t>
            </w:r>
          </w:p>
        </w:tc>
        <w:tc>
          <w:tcPr>
            <w:tcW w:w="1469" w:type="dxa"/>
            <w:tcBorders>
              <w:top w:val="single" w:sz="8" w:space="0" w:color="auto"/>
              <w:left w:val="nil"/>
              <w:bottom w:val="nil"/>
              <w:right w:val="single" w:sz="8" w:space="0" w:color="auto"/>
            </w:tcBorders>
            <w:shd w:val="clear" w:color="000000" w:fill="D9D9D9"/>
            <w:vAlign w:val="bottom"/>
            <w:hideMark/>
          </w:tcPr>
          <w:p w:rsidR="008A7D76" w:rsidRPr="008A7D76" w:rsidRDefault="008A7D76" w:rsidP="008A7D76">
            <w:pPr>
              <w:jc w:val="center"/>
              <w:rPr>
                <w:rFonts w:ascii="Arial" w:hAnsi="Arial" w:cs="Arial"/>
                <w:b/>
                <w:bCs/>
                <w:sz w:val="16"/>
                <w:szCs w:val="16"/>
                <w:lang w:eastAsia="en-NZ"/>
              </w:rPr>
            </w:pPr>
            <w:r w:rsidRPr="008A7D76">
              <w:rPr>
                <w:rFonts w:ascii="Arial" w:hAnsi="Arial" w:cs="Arial"/>
                <w:b/>
                <w:bCs/>
                <w:sz w:val="16"/>
                <w:szCs w:val="16"/>
                <w:lang w:eastAsia="en-NZ"/>
              </w:rPr>
              <w:t>T CO</w:t>
            </w:r>
            <w:r w:rsidRPr="008A7D76">
              <w:rPr>
                <w:rFonts w:ascii="Arial" w:hAnsi="Arial" w:cs="Arial"/>
                <w:b/>
                <w:bCs/>
                <w:sz w:val="14"/>
                <w:szCs w:val="14"/>
                <w:lang w:eastAsia="en-NZ"/>
              </w:rPr>
              <w:t>2</w:t>
            </w:r>
            <w:r w:rsidRPr="008A7D76">
              <w:rPr>
                <w:rFonts w:ascii="Arial" w:hAnsi="Arial" w:cs="Arial"/>
                <w:b/>
                <w:bCs/>
                <w:sz w:val="16"/>
                <w:szCs w:val="16"/>
                <w:lang w:eastAsia="en-NZ"/>
              </w:rPr>
              <w:t>/TJ</w:t>
            </w:r>
          </w:p>
        </w:tc>
        <w:tc>
          <w:tcPr>
            <w:tcW w:w="1467"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bottom"/>
            <w:hideMark/>
          </w:tcPr>
          <w:p w:rsidR="008A7D76" w:rsidRPr="008A7D76" w:rsidRDefault="008A7D76" w:rsidP="008A7D76">
            <w:pPr>
              <w:jc w:val="center"/>
              <w:rPr>
                <w:rFonts w:ascii="Arial" w:hAnsi="Arial" w:cs="Arial"/>
                <w:b/>
                <w:bCs/>
                <w:sz w:val="16"/>
                <w:szCs w:val="16"/>
                <w:lang w:eastAsia="en-NZ"/>
              </w:rPr>
            </w:pPr>
            <w:r w:rsidRPr="008A7D76">
              <w:rPr>
                <w:rFonts w:ascii="Arial" w:hAnsi="Arial" w:cs="Arial"/>
                <w:b/>
                <w:bCs/>
                <w:sz w:val="16"/>
                <w:szCs w:val="16"/>
                <w:lang w:eastAsia="en-NZ"/>
              </w:rPr>
              <w:t>T CH</w:t>
            </w:r>
            <w:r w:rsidRPr="008A7D76">
              <w:rPr>
                <w:rFonts w:ascii="Arial" w:hAnsi="Arial" w:cs="Arial"/>
                <w:b/>
                <w:bCs/>
                <w:sz w:val="16"/>
                <w:szCs w:val="16"/>
                <w:vertAlign w:val="subscript"/>
                <w:lang w:eastAsia="en-NZ"/>
              </w:rPr>
              <w:t>4</w:t>
            </w:r>
            <w:r w:rsidRPr="008A7D76">
              <w:rPr>
                <w:rFonts w:ascii="Arial" w:hAnsi="Arial" w:cs="Arial"/>
                <w:b/>
                <w:bCs/>
                <w:sz w:val="16"/>
                <w:szCs w:val="16"/>
                <w:lang w:eastAsia="en-NZ"/>
              </w:rPr>
              <w:t>/TJ</w:t>
            </w:r>
          </w:p>
        </w:tc>
        <w:tc>
          <w:tcPr>
            <w:tcW w:w="1565"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bottom"/>
            <w:hideMark/>
          </w:tcPr>
          <w:p w:rsidR="008A7D76" w:rsidRPr="008A7D76" w:rsidRDefault="008A7D76" w:rsidP="008A7D76">
            <w:pPr>
              <w:jc w:val="center"/>
              <w:rPr>
                <w:rFonts w:ascii="Arial" w:hAnsi="Arial" w:cs="Arial"/>
                <w:b/>
                <w:bCs/>
                <w:sz w:val="16"/>
                <w:szCs w:val="16"/>
                <w:lang w:eastAsia="en-NZ"/>
              </w:rPr>
            </w:pPr>
            <w:r w:rsidRPr="008A7D76">
              <w:rPr>
                <w:rFonts w:ascii="Arial" w:hAnsi="Arial" w:cs="Arial"/>
                <w:b/>
                <w:bCs/>
                <w:sz w:val="16"/>
                <w:szCs w:val="16"/>
                <w:lang w:eastAsia="en-NZ"/>
              </w:rPr>
              <w:t>T N</w:t>
            </w:r>
            <w:r w:rsidRPr="008A7D76">
              <w:rPr>
                <w:rFonts w:ascii="Arial" w:hAnsi="Arial" w:cs="Arial"/>
                <w:b/>
                <w:bCs/>
                <w:sz w:val="16"/>
                <w:szCs w:val="16"/>
                <w:vertAlign w:val="subscript"/>
                <w:lang w:eastAsia="en-NZ"/>
              </w:rPr>
              <w:t>2</w:t>
            </w:r>
            <w:r w:rsidRPr="008A7D76">
              <w:rPr>
                <w:rFonts w:ascii="Arial" w:hAnsi="Arial" w:cs="Arial"/>
                <w:b/>
                <w:bCs/>
                <w:sz w:val="16"/>
                <w:szCs w:val="16"/>
                <w:lang w:eastAsia="en-NZ"/>
              </w:rPr>
              <w:t>O/TJ</w:t>
            </w:r>
          </w:p>
        </w:tc>
      </w:tr>
      <w:tr w:rsidR="00B514B3" w:rsidRPr="008A7D76" w:rsidTr="00680FA7">
        <w:trPr>
          <w:trHeight w:val="432"/>
        </w:trPr>
        <w:tc>
          <w:tcPr>
            <w:tcW w:w="1479" w:type="dxa"/>
            <w:vMerge/>
            <w:tcBorders>
              <w:top w:val="single" w:sz="8" w:space="0" w:color="auto"/>
              <w:left w:val="single" w:sz="8" w:space="0" w:color="auto"/>
              <w:bottom w:val="single" w:sz="8" w:space="0" w:color="000000"/>
              <w:right w:val="single" w:sz="8" w:space="0" w:color="auto"/>
            </w:tcBorders>
            <w:vAlign w:val="center"/>
            <w:hideMark/>
          </w:tcPr>
          <w:p w:rsidR="008A7D76" w:rsidRPr="008A7D76" w:rsidRDefault="008A7D76" w:rsidP="008A7D76">
            <w:pPr>
              <w:jc w:val="left"/>
              <w:rPr>
                <w:rFonts w:ascii="Arial" w:hAnsi="Arial" w:cs="Arial"/>
                <w:b/>
                <w:bCs/>
                <w:sz w:val="16"/>
                <w:szCs w:val="16"/>
                <w:lang w:eastAsia="en-NZ"/>
              </w:rPr>
            </w:pPr>
          </w:p>
        </w:tc>
        <w:tc>
          <w:tcPr>
            <w:tcW w:w="1061" w:type="dxa"/>
            <w:vMerge/>
            <w:tcBorders>
              <w:top w:val="single" w:sz="8" w:space="0" w:color="auto"/>
              <w:left w:val="single" w:sz="8" w:space="0" w:color="auto"/>
              <w:bottom w:val="single" w:sz="8" w:space="0" w:color="000000"/>
              <w:right w:val="single" w:sz="8" w:space="0" w:color="auto"/>
            </w:tcBorders>
            <w:vAlign w:val="center"/>
            <w:hideMark/>
          </w:tcPr>
          <w:p w:rsidR="008A7D76" w:rsidRPr="008A7D76" w:rsidRDefault="008A7D76" w:rsidP="008A7D76">
            <w:pPr>
              <w:jc w:val="left"/>
              <w:rPr>
                <w:rFonts w:ascii="Arial" w:hAnsi="Arial" w:cs="Arial"/>
                <w:b/>
                <w:bCs/>
                <w:sz w:val="16"/>
                <w:szCs w:val="16"/>
                <w:lang w:eastAsia="en-NZ"/>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rsidR="008A7D76" w:rsidRPr="008A7D76" w:rsidRDefault="008A7D76" w:rsidP="008A7D76">
            <w:pPr>
              <w:jc w:val="left"/>
              <w:rPr>
                <w:rFonts w:ascii="Arial" w:hAnsi="Arial" w:cs="Arial"/>
                <w:b/>
                <w:bCs/>
                <w:sz w:val="16"/>
                <w:szCs w:val="16"/>
                <w:lang w:eastAsia="en-NZ"/>
              </w:rPr>
            </w:pPr>
          </w:p>
        </w:tc>
        <w:tc>
          <w:tcPr>
            <w:tcW w:w="1021" w:type="dxa"/>
            <w:tcBorders>
              <w:top w:val="nil"/>
              <w:left w:val="nil"/>
              <w:bottom w:val="single" w:sz="8" w:space="0" w:color="auto"/>
              <w:right w:val="single" w:sz="8" w:space="0" w:color="auto"/>
            </w:tcBorders>
            <w:shd w:val="clear" w:color="000000" w:fill="D9D9D9"/>
            <w:noWrap/>
            <w:vAlign w:val="bottom"/>
            <w:hideMark/>
          </w:tcPr>
          <w:p w:rsidR="008A7D76" w:rsidRPr="008A7D76" w:rsidRDefault="008A7D76" w:rsidP="008A7D76">
            <w:pPr>
              <w:jc w:val="center"/>
              <w:rPr>
                <w:rFonts w:ascii="Arial" w:hAnsi="Arial" w:cs="Arial"/>
                <w:b/>
                <w:bCs/>
                <w:sz w:val="16"/>
                <w:szCs w:val="16"/>
                <w:lang w:eastAsia="en-NZ"/>
              </w:rPr>
            </w:pPr>
            <w:r w:rsidRPr="008A7D76">
              <w:rPr>
                <w:rFonts w:ascii="Arial" w:hAnsi="Arial" w:cs="Arial"/>
                <w:b/>
                <w:bCs/>
                <w:sz w:val="16"/>
                <w:szCs w:val="16"/>
                <w:lang w:eastAsia="en-NZ"/>
              </w:rPr>
              <w:t>(MJ/unit)</w:t>
            </w:r>
          </w:p>
        </w:tc>
        <w:tc>
          <w:tcPr>
            <w:tcW w:w="1469" w:type="dxa"/>
            <w:tcBorders>
              <w:top w:val="nil"/>
              <w:left w:val="nil"/>
              <w:bottom w:val="single" w:sz="8" w:space="0" w:color="auto"/>
              <w:right w:val="single" w:sz="8" w:space="0" w:color="auto"/>
            </w:tcBorders>
            <w:shd w:val="clear" w:color="000000" w:fill="D9D9D9"/>
            <w:vAlign w:val="bottom"/>
            <w:hideMark/>
          </w:tcPr>
          <w:p w:rsidR="008A7D76" w:rsidRPr="008A7D76" w:rsidRDefault="008A7D76" w:rsidP="008A7D76">
            <w:pPr>
              <w:jc w:val="center"/>
              <w:rPr>
                <w:rFonts w:ascii="Arial" w:hAnsi="Arial" w:cs="Arial"/>
                <w:b/>
                <w:bCs/>
                <w:sz w:val="16"/>
                <w:szCs w:val="16"/>
                <w:lang w:eastAsia="en-NZ"/>
              </w:rPr>
            </w:pPr>
            <w:r w:rsidRPr="008A7D76">
              <w:rPr>
                <w:rFonts w:ascii="Arial" w:hAnsi="Arial" w:cs="Arial"/>
                <w:b/>
                <w:bCs/>
                <w:sz w:val="16"/>
                <w:szCs w:val="16"/>
                <w:lang w:eastAsia="en-NZ"/>
              </w:rPr>
              <w:t>(after oxidation)</w:t>
            </w:r>
          </w:p>
        </w:tc>
        <w:tc>
          <w:tcPr>
            <w:tcW w:w="1467" w:type="dxa"/>
            <w:vMerge/>
            <w:tcBorders>
              <w:top w:val="single" w:sz="8" w:space="0" w:color="auto"/>
              <w:left w:val="single" w:sz="8" w:space="0" w:color="auto"/>
              <w:bottom w:val="single" w:sz="8" w:space="0" w:color="000000"/>
              <w:right w:val="single" w:sz="8" w:space="0" w:color="auto"/>
            </w:tcBorders>
            <w:vAlign w:val="center"/>
            <w:hideMark/>
          </w:tcPr>
          <w:p w:rsidR="008A7D76" w:rsidRPr="008A7D76" w:rsidRDefault="008A7D76" w:rsidP="008A7D76">
            <w:pPr>
              <w:jc w:val="left"/>
              <w:rPr>
                <w:rFonts w:ascii="Arial" w:hAnsi="Arial" w:cs="Arial"/>
                <w:b/>
                <w:bCs/>
                <w:sz w:val="16"/>
                <w:szCs w:val="16"/>
                <w:lang w:eastAsia="en-NZ"/>
              </w:rPr>
            </w:pPr>
          </w:p>
        </w:tc>
        <w:tc>
          <w:tcPr>
            <w:tcW w:w="1565" w:type="dxa"/>
            <w:vMerge/>
            <w:tcBorders>
              <w:top w:val="single" w:sz="8" w:space="0" w:color="auto"/>
              <w:left w:val="single" w:sz="8" w:space="0" w:color="auto"/>
              <w:bottom w:val="single" w:sz="8" w:space="0" w:color="000000"/>
              <w:right w:val="single" w:sz="8" w:space="0" w:color="auto"/>
            </w:tcBorders>
            <w:vAlign w:val="center"/>
            <w:hideMark/>
          </w:tcPr>
          <w:p w:rsidR="008A7D76" w:rsidRPr="008A7D76" w:rsidRDefault="008A7D76" w:rsidP="008A7D76">
            <w:pPr>
              <w:jc w:val="left"/>
              <w:rPr>
                <w:rFonts w:ascii="Arial" w:hAnsi="Arial" w:cs="Arial"/>
                <w:b/>
                <w:bCs/>
                <w:sz w:val="16"/>
                <w:szCs w:val="16"/>
                <w:lang w:eastAsia="en-NZ"/>
              </w:rPr>
            </w:pPr>
          </w:p>
        </w:tc>
      </w:tr>
      <w:tr w:rsidR="00B514B3" w:rsidRPr="008A7D76" w:rsidTr="00680FA7">
        <w:trPr>
          <w:cantSplit/>
          <w:trHeight w:val="276"/>
        </w:trPr>
        <w:tc>
          <w:tcPr>
            <w:tcW w:w="1479" w:type="dxa"/>
            <w:tcBorders>
              <w:top w:val="nil"/>
              <w:left w:val="single" w:sz="8" w:space="0" w:color="auto"/>
              <w:bottom w:val="single" w:sz="8" w:space="0" w:color="auto"/>
              <w:right w:val="single" w:sz="8" w:space="0" w:color="auto"/>
            </w:tcBorders>
            <w:shd w:val="clear" w:color="auto" w:fill="auto"/>
            <w:noWrap/>
            <w:hideMark/>
          </w:tcPr>
          <w:p w:rsidR="008A7D76" w:rsidRPr="008A7D76" w:rsidRDefault="008A7D76" w:rsidP="008A7D76">
            <w:pPr>
              <w:jc w:val="left"/>
              <w:rPr>
                <w:rFonts w:ascii="Arial" w:hAnsi="Arial" w:cs="Arial"/>
                <w:b/>
                <w:bCs/>
                <w:sz w:val="16"/>
                <w:szCs w:val="16"/>
                <w:lang w:eastAsia="en-NZ"/>
              </w:rPr>
            </w:pPr>
            <w:r w:rsidRPr="008A7D76">
              <w:rPr>
                <w:rFonts w:ascii="Arial" w:hAnsi="Arial" w:cs="Arial"/>
                <w:b/>
                <w:bCs/>
                <w:sz w:val="16"/>
                <w:szCs w:val="16"/>
                <w:lang w:eastAsia="en-NZ"/>
              </w:rPr>
              <w:t>Stationary combustion</w:t>
            </w:r>
          </w:p>
        </w:tc>
        <w:tc>
          <w:tcPr>
            <w:tcW w:w="1061" w:type="dxa"/>
            <w:tcBorders>
              <w:top w:val="nil"/>
              <w:left w:val="nil"/>
              <w:bottom w:val="single" w:sz="8" w:space="0" w:color="auto"/>
              <w:right w:val="single" w:sz="8" w:space="0" w:color="auto"/>
            </w:tcBorders>
            <w:shd w:val="clear" w:color="000000" w:fill="000000"/>
            <w:noWrap/>
            <w:hideMark/>
          </w:tcPr>
          <w:p w:rsidR="008A7D76" w:rsidRPr="008A7D76" w:rsidRDefault="008A7D76" w:rsidP="008A7D76">
            <w:pPr>
              <w:jc w:val="left"/>
              <w:rPr>
                <w:rFonts w:ascii="Arial" w:hAnsi="Arial" w:cs="Arial"/>
                <w:sz w:val="16"/>
                <w:szCs w:val="16"/>
                <w:lang w:eastAsia="en-NZ"/>
              </w:rPr>
            </w:pPr>
            <w:r w:rsidRPr="008A7D76">
              <w:rPr>
                <w:rFonts w:ascii="Arial" w:hAnsi="Arial" w:cs="Arial"/>
                <w:sz w:val="16"/>
                <w:szCs w:val="16"/>
                <w:lang w:eastAsia="en-NZ"/>
              </w:rPr>
              <w:t> </w:t>
            </w:r>
          </w:p>
        </w:tc>
        <w:tc>
          <w:tcPr>
            <w:tcW w:w="560" w:type="dxa"/>
            <w:tcBorders>
              <w:top w:val="nil"/>
              <w:left w:val="nil"/>
              <w:bottom w:val="single" w:sz="8" w:space="0" w:color="auto"/>
              <w:right w:val="single" w:sz="8" w:space="0" w:color="auto"/>
            </w:tcBorders>
            <w:shd w:val="clear" w:color="000000" w:fill="000000"/>
            <w:noWrap/>
            <w:hideMark/>
          </w:tcPr>
          <w:p w:rsidR="008A7D76" w:rsidRPr="008A7D76" w:rsidRDefault="008A7D76" w:rsidP="008A7D76">
            <w:pPr>
              <w:jc w:val="left"/>
              <w:rPr>
                <w:rFonts w:ascii="Arial" w:hAnsi="Arial" w:cs="Arial"/>
                <w:sz w:val="16"/>
                <w:szCs w:val="16"/>
                <w:lang w:eastAsia="en-NZ"/>
              </w:rPr>
            </w:pPr>
            <w:r w:rsidRPr="008A7D76">
              <w:rPr>
                <w:rFonts w:ascii="Arial" w:hAnsi="Arial" w:cs="Arial"/>
                <w:sz w:val="16"/>
                <w:szCs w:val="16"/>
                <w:lang w:eastAsia="en-NZ"/>
              </w:rPr>
              <w:t> </w:t>
            </w:r>
          </w:p>
        </w:tc>
        <w:tc>
          <w:tcPr>
            <w:tcW w:w="1021" w:type="dxa"/>
            <w:tcBorders>
              <w:top w:val="nil"/>
              <w:left w:val="nil"/>
              <w:bottom w:val="single" w:sz="8" w:space="0" w:color="auto"/>
              <w:right w:val="single" w:sz="8" w:space="0" w:color="auto"/>
            </w:tcBorders>
            <w:shd w:val="clear" w:color="000000" w:fill="000000"/>
            <w:noWrap/>
            <w:hideMark/>
          </w:tcPr>
          <w:p w:rsidR="008A7D76" w:rsidRPr="008A7D76" w:rsidRDefault="008A7D76" w:rsidP="008A7D76">
            <w:pPr>
              <w:jc w:val="left"/>
              <w:rPr>
                <w:rFonts w:ascii="Arial" w:hAnsi="Arial" w:cs="Arial"/>
                <w:sz w:val="16"/>
                <w:szCs w:val="16"/>
                <w:lang w:eastAsia="en-NZ"/>
              </w:rPr>
            </w:pPr>
            <w:r w:rsidRPr="008A7D76">
              <w:rPr>
                <w:rFonts w:ascii="Arial" w:hAnsi="Arial" w:cs="Arial"/>
                <w:sz w:val="16"/>
                <w:szCs w:val="16"/>
                <w:lang w:eastAsia="en-NZ"/>
              </w:rPr>
              <w:t> </w:t>
            </w:r>
          </w:p>
        </w:tc>
        <w:tc>
          <w:tcPr>
            <w:tcW w:w="1469" w:type="dxa"/>
            <w:tcBorders>
              <w:top w:val="nil"/>
              <w:left w:val="nil"/>
              <w:bottom w:val="single" w:sz="8" w:space="0" w:color="auto"/>
              <w:right w:val="single" w:sz="8" w:space="0" w:color="auto"/>
            </w:tcBorders>
            <w:shd w:val="clear" w:color="000000" w:fill="000000"/>
            <w:noWrap/>
            <w:hideMark/>
          </w:tcPr>
          <w:p w:rsidR="008A7D76" w:rsidRPr="008A7D76" w:rsidRDefault="008A7D76" w:rsidP="008A7D76">
            <w:pPr>
              <w:jc w:val="left"/>
              <w:rPr>
                <w:rFonts w:ascii="Arial" w:hAnsi="Arial" w:cs="Arial"/>
                <w:sz w:val="16"/>
                <w:szCs w:val="16"/>
                <w:lang w:eastAsia="en-NZ"/>
              </w:rPr>
            </w:pPr>
            <w:r w:rsidRPr="008A7D76">
              <w:rPr>
                <w:rFonts w:ascii="Arial" w:hAnsi="Arial" w:cs="Arial"/>
                <w:sz w:val="16"/>
                <w:szCs w:val="16"/>
                <w:lang w:eastAsia="en-NZ"/>
              </w:rPr>
              <w:t> </w:t>
            </w:r>
          </w:p>
        </w:tc>
        <w:tc>
          <w:tcPr>
            <w:tcW w:w="1467" w:type="dxa"/>
            <w:tcBorders>
              <w:top w:val="nil"/>
              <w:left w:val="nil"/>
              <w:bottom w:val="single" w:sz="8" w:space="0" w:color="auto"/>
              <w:right w:val="single" w:sz="8" w:space="0" w:color="auto"/>
            </w:tcBorders>
            <w:shd w:val="clear" w:color="000000" w:fill="000000"/>
            <w:noWrap/>
            <w:hideMark/>
          </w:tcPr>
          <w:p w:rsidR="008A7D76" w:rsidRPr="008A7D76" w:rsidRDefault="008A7D76" w:rsidP="008A7D76">
            <w:pPr>
              <w:jc w:val="left"/>
              <w:rPr>
                <w:rFonts w:ascii="Arial" w:hAnsi="Arial" w:cs="Arial"/>
                <w:sz w:val="16"/>
                <w:szCs w:val="16"/>
                <w:lang w:eastAsia="en-NZ"/>
              </w:rPr>
            </w:pPr>
            <w:r w:rsidRPr="008A7D76">
              <w:rPr>
                <w:rFonts w:ascii="Arial" w:hAnsi="Arial" w:cs="Arial"/>
                <w:sz w:val="16"/>
                <w:szCs w:val="16"/>
                <w:lang w:eastAsia="en-NZ"/>
              </w:rPr>
              <w:t> </w:t>
            </w:r>
          </w:p>
        </w:tc>
        <w:tc>
          <w:tcPr>
            <w:tcW w:w="1565" w:type="dxa"/>
            <w:tcBorders>
              <w:top w:val="nil"/>
              <w:left w:val="nil"/>
              <w:bottom w:val="single" w:sz="8" w:space="0" w:color="auto"/>
              <w:right w:val="single" w:sz="8" w:space="0" w:color="auto"/>
            </w:tcBorders>
            <w:shd w:val="clear" w:color="000000" w:fill="000000"/>
            <w:noWrap/>
            <w:hideMark/>
          </w:tcPr>
          <w:p w:rsidR="008A7D76" w:rsidRPr="008A7D76" w:rsidRDefault="008A7D76" w:rsidP="008A7D76">
            <w:pPr>
              <w:jc w:val="left"/>
              <w:rPr>
                <w:rFonts w:ascii="Arial" w:hAnsi="Arial" w:cs="Arial"/>
                <w:sz w:val="16"/>
                <w:szCs w:val="16"/>
                <w:lang w:eastAsia="en-NZ"/>
              </w:rPr>
            </w:pPr>
            <w:r w:rsidRPr="008A7D76">
              <w:rPr>
                <w:rFonts w:ascii="Arial" w:hAnsi="Arial" w:cs="Arial"/>
                <w:sz w:val="16"/>
                <w:szCs w:val="16"/>
                <w:lang w:eastAsia="en-NZ"/>
              </w:rPr>
              <w:t> </w:t>
            </w:r>
          </w:p>
        </w:tc>
      </w:tr>
      <w:tr w:rsidR="00B514B3" w:rsidRPr="0095167C" w:rsidTr="00680FA7">
        <w:trPr>
          <w:cantSplit/>
          <w:trHeight w:val="313"/>
        </w:trPr>
        <w:tc>
          <w:tcPr>
            <w:tcW w:w="1479" w:type="dxa"/>
            <w:tcBorders>
              <w:top w:val="nil"/>
              <w:left w:val="single" w:sz="8" w:space="0" w:color="auto"/>
              <w:bottom w:val="single" w:sz="8" w:space="0" w:color="auto"/>
              <w:right w:val="single" w:sz="8" w:space="0" w:color="auto"/>
            </w:tcBorders>
            <w:shd w:val="clear" w:color="auto" w:fill="auto"/>
            <w:noWrap/>
            <w:hideMark/>
          </w:tcPr>
          <w:p w:rsidR="009709A1" w:rsidRPr="0095167C" w:rsidRDefault="009709A1" w:rsidP="008A7D76">
            <w:pPr>
              <w:jc w:val="left"/>
              <w:rPr>
                <w:rFonts w:ascii="Arial" w:hAnsi="Arial" w:cs="Arial"/>
                <w:sz w:val="16"/>
                <w:szCs w:val="16"/>
                <w:lang w:eastAsia="en-NZ"/>
              </w:rPr>
            </w:pPr>
            <w:r w:rsidRPr="0095167C">
              <w:rPr>
                <w:rFonts w:ascii="Arial" w:hAnsi="Arial" w:cs="Arial"/>
                <w:sz w:val="16"/>
                <w:szCs w:val="16"/>
                <w:lang w:eastAsia="en-NZ"/>
              </w:rPr>
              <w:t>Coal – bituminous</w:t>
            </w:r>
          </w:p>
        </w:tc>
        <w:tc>
          <w:tcPr>
            <w:tcW w:w="1061" w:type="dxa"/>
            <w:tcBorders>
              <w:top w:val="nil"/>
              <w:left w:val="nil"/>
              <w:bottom w:val="single" w:sz="8" w:space="0" w:color="auto"/>
              <w:right w:val="single" w:sz="8" w:space="0" w:color="auto"/>
            </w:tcBorders>
            <w:shd w:val="clear" w:color="auto" w:fill="auto"/>
            <w:noWrap/>
            <w:hideMark/>
          </w:tcPr>
          <w:p w:rsidR="009709A1" w:rsidRPr="0095167C" w:rsidRDefault="009709A1" w:rsidP="008A7D76">
            <w:pPr>
              <w:jc w:val="left"/>
              <w:rPr>
                <w:rFonts w:ascii="Arial" w:hAnsi="Arial" w:cs="Arial"/>
                <w:sz w:val="16"/>
                <w:szCs w:val="16"/>
                <w:lang w:eastAsia="en-NZ"/>
              </w:rPr>
            </w:pPr>
            <w:r w:rsidRPr="0095167C">
              <w:rPr>
                <w:rFonts w:ascii="Arial" w:hAnsi="Arial" w:cs="Arial"/>
                <w:sz w:val="16"/>
                <w:szCs w:val="16"/>
                <w:lang w:eastAsia="en-NZ"/>
              </w:rPr>
              <w:t>Residential</w:t>
            </w:r>
          </w:p>
        </w:tc>
        <w:tc>
          <w:tcPr>
            <w:tcW w:w="560" w:type="dxa"/>
            <w:tcBorders>
              <w:top w:val="nil"/>
              <w:left w:val="nil"/>
              <w:bottom w:val="single" w:sz="8" w:space="0" w:color="auto"/>
              <w:right w:val="single" w:sz="8" w:space="0" w:color="auto"/>
            </w:tcBorders>
            <w:shd w:val="clear" w:color="auto" w:fill="auto"/>
            <w:noWrap/>
            <w:hideMark/>
          </w:tcPr>
          <w:p w:rsidR="009709A1" w:rsidRPr="0095167C" w:rsidRDefault="009709A1" w:rsidP="008A7D76">
            <w:pPr>
              <w:jc w:val="left"/>
              <w:rPr>
                <w:rFonts w:ascii="Arial" w:hAnsi="Arial" w:cs="Arial"/>
                <w:sz w:val="16"/>
                <w:szCs w:val="16"/>
                <w:lang w:eastAsia="en-NZ"/>
              </w:rPr>
            </w:pPr>
            <w:r w:rsidRPr="0095167C">
              <w:rPr>
                <w:rFonts w:ascii="Arial" w:hAnsi="Arial" w:cs="Arial"/>
                <w:sz w:val="16"/>
                <w:szCs w:val="16"/>
                <w:lang w:eastAsia="en-NZ"/>
              </w:rPr>
              <w:t>Kg</w:t>
            </w:r>
          </w:p>
        </w:tc>
        <w:tc>
          <w:tcPr>
            <w:tcW w:w="1021" w:type="dxa"/>
            <w:tcBorders>
              <w:top w:val="nil"/>
              <w:left w:val="nil"/>
              <w:bottom w:val="single" w:sz="8" w:space="0" w:color="auto"/>
              <w:right w:val="single" w:sz="8" w:space="0" w:color="auto"/>
            </w:tcBorders>
            <w:shd w:val="clear" w:color="000000" w:fill="FFFFFF"/>
            <w:noWrap/>
            <w:vAlign w:val="bottom"/>
            <w:hideMark/>
          </w:tcPr>
          <w:p w:rsidR="009709A1" w:rsidRPr="0095167C" w:rsidRDefault="009709A1" w:rsidP="008A7D76">
            <w:pPr>
              <w:jc w:val="center"/>
              <w:rPr>
                <w:rFonts w:ascii="Arial" w:hAnsi="Arial" w:cs="Arial"/>
                <w:sz w:val="16"/>
                <w:szCs w:val="16"/>
                <w:lang w:eastAsia="en-NZ"/>
              </w:rPr>
            </w:pPr>
            <w:r w:rsidRPr="00A56619">
              <w:rPr>
                <w:rFonts w:ascii="Arial" w:hAnsi="Arial" w:cs="Arial"/>
                <w:sz w:val="16"/>
                <w:szCs w:val="16"/>
              </w:rPr>
              <w:t>29.87</w:t>
            </w:r>
          </w:p>
        </w:tc>
        <w:tc>
          <w:tcPr>
            <w:tcW w:w="1469" w:type="dxa"/>
            <w:tcBorders>
              <w:top w:val="nil"/>
              <w:left w:val="nil"/>
              <w:bottom w:val="single" w:sz="8" w:space="0" w:color="auto"/>
              <w:right w:val="single" w:sz="8" w:space="0" w:color="auto"/>
            </w:tcBorders>
            <w:shd w:val="clear" w:color="000000" w:fill="FFFFFF"/>
            <w:noWrap/>
            <w:vAlign w:val="bottom"/>
            <w:hideMark/>
          </w:tcPr>
          <w:p w:rsidR="009709A1" w:rsidRPr="0095167C" w:rsidRDefault="009709A1" w:rsidP="007F2CFF">
            <w:pPr>
              <w:jc w:val="right"/>
              <w:rPr>
                <w:rFonts w:ascii="Arial" w:hAnsi="Arial" w:cs="Arial"/>
                <w:sz w:val="16"/>
                <w:szCs w:val="16"/>
                <w:lang w:eastAsia="en-NZ"/>
              </w:rPr>
            </w:pPr>
            <w:r w:rsidRPr="00A56619">
              <w:rPr>
                <w:rFonts w:ascii="Arial" w:hAnsi="Arial" w:cs="Arial"/>
                <w:sz w:val="16"/>
                <w:szCs w:val="16"/>
              </w:rPr>
              <w:t>89.13</w:t>
            </w:r>
          </w:p>
        </w:tc>
        <w:tc>
          <w:tcPr>
            <w:tcW w:w="1467" w:type="dxa"/>
            <w:tcBorders>
              <w:top w:val="nil"/>
              <w:left w:val="nil"/>
              <w:bottom w:val="single" w:sz="8" w:space="0" w:color="auto"/>
              <w:right w:val="single" w:sz="8" w:space="0" w:color="auto"/>
            </w:tcBorders>
            <w:shd w:val="clear" w:color="auto" w:fill="auto"/>
            <w:noWrap/>
            <w:vAlign w:val="bottom"/>
            <w:hideMark/>
          </w:tcPr>
          <w:p w:rsidR="009709A1" w:rsidRPr="0095167C" w:rsidRDefault="009709A1" w:rsidP="007F2CFF">
            <w:pPr>
              <w:jc w:val="right"/>
              <w:rPr>
                <w:rFonts w:ascii="Arial" w:hAnsi="Arial" w:cs="Arial"/>
                <w:color w:val="000000"/>
                <w:sz w:val="16"/>
                <w:szCs w:val="16"/>
                <w:lang w:eastAsia="en-NZ"/>
              </w:rPr>
            </w:pPr>
            <w:r w:rsidRPr="00A56619">
              <w:rPr>
                <w:rFonts w:ascii="Arial" w:hAnsi="Arial" w:cs="Arial"/>
                <w:sz w:val="16"/>
                <w:szCs w:val="16"/>
              </w:rPr>
              <w:t>0.285</w:t>
            </w:r>
          </w:p>
        </w:tc>
        <w:tc>
          <w:tcPr>
            <w:tcW w:w="1565" w:type="dxa"/>
            <w:tcBorders>
              <w:top w:val="nil"/>
              <w:left w:val="nil"/>
              <w:bottom w:val="single" w:sz="8" w:space="0" w:color="auto"/>
              <w:right w:val="single" w:sz="8" w:space="0" w:color="auto"/>
            </w:tcBorders>
            <w:shd w:val="clear" w:color="auto" w:fill="auto"/>
            <w:noWrap/>
            <w:vAlign w:val="bottom"/>
          </w:tcPr>
          <w:p w:rsidR="009709A1" w:rsidRPr="0095167C" w:rsidRDefault="009709A1" w:rsidP="007F2CFF">
            <w:pPr>
              <w:jc w:val="right"/>
              <w:rPr>
                <w:rFonts w:ascii="Arial" w:hAnsi="Arial" w:cs="Arial"/>
                <w:color w:val="000000"/>
                <w:sz w:val="16"/>
                <w:szCs w:val="16"/>
                <w:lang w:eastAsia="en-NZ"/>
              </w:rPr>
            </w:pPr>
            <w:r w:rsidRPr="00A56619">
              <w:rPr>
                <w:rFonts w:ascii="Arial" w:hAnsi="Arial" w:cs="Arial"/>
                <w:sz w:val="16"/>
                <w:szCs w:val="16"/>
              </w:rPr>
              <w:t>0.00143</w:t>
            </w:r>
          </w:p>
        </w:tc>
      </w:tr>
      <w:tr w:rsidR="00B514B3" w:rsidRPr="0095167C" w:rsidTr="00680FA7">
        <w:trPr>
          <w:cantSplit/>
          <w:trHeight w:val="276"/>
        </w:trPr>
        <w:tc>
          <w:tcPr>
            <w:tcW w:w="1479" w:type="dxa"/>
            <w:tcBorders>
              <w:top w:val="nil"/>
              <w:left w:val="single" w:sz="8" w:space="0" w:color="auto"/>
              <w:bottom w:val="single" w:sz="8" w:space="0" w:color="auto"/>
              <w:right w:val="single" w:sz="8" w:space="0" w:color="auto"/>
            </w:tcBorders>
            <w:shd w:val="clear" w:color="auto" w:fill="auto"/>
            <w:noWrap/>
            <w:hideMark/>
          </w:tcPr>
          <w:p w:rsidR="009709A1" w:rsidRPr="0095167C" w:rsidRDefault="009709A1" w:rsidP="008A7D76">
            <w:pPr>
              <w:jc w:val="left"/>
              <w:rPr>
                <w:rFonts w:ascii="Arial" w:hAnsi="Arial" w:cs="Arial"/>
                <w:sz w:val="16"/>
                <w:szCs w:val="16"/>
                <w:lang w:eastAsia="en-NZ"/>
              </w:rPr>
            </w:pPr>
            <w:r w:rsidRPr="0095167C">
              <w:rPr>
                <w:rFonts w:ascii="Arial" w:hAnsi="Arial" w:cs="Arial"/>
                <w:sz w:val="16"/>
                <w:szCs w:val="16"/>
                <w:lang w:eastAsia="en-NZ"/>
              </w:rPr>
              <w:t>Coal – sub-bituminous</w:t>
            </w:r>
          </w:p>
        </w:tc>
        <w:tc>
          <w:tcPr>
            <w:tcW w:w="1061" w:type="dxa"/>
            <w:tcBorders>
              <w:top w:val="nil"/>
              <w:left w:val="nil"/>
              <w:bottom w:val="single" w:sz="8" w:space="0" w:color="auto"/>
              <w:right w:val="single" w:sz="8" w:space="0" w:color="auto"/>
            </w:tcBorders>
            <w:shd w:val="clear" w:color="auto" w:fill="auto"/>
            <w:noWrap/>
            <w:hideMark/>
          </w:tcPr>
          <w:p w:rsidR="009709A1" w:rsidRPr="0095167C" w:rsidRDefault="009709A1" w:rsidP="008A7D76">
            <w:pPr>
              <w:jc w:val="left"/>
              <w:rPr>
                <w:rFonts w:ascii="Arial" w:hAnsi="Arial" w:cs="Arial"/>
                <w:sz w:val="16"/>
                <w:szCs w:val="16"/>
                <w:lang w:eastAsia="en-NZ"/>
              </w:rPr>
            </w:pPr>
            <w:r w:rsidRPr="0095167C">
              <w:rPr>
                <w:rFonts w:ascii="Arial" w:hAnsi="Arial" w:cs="Arial"/>
                <w:sz w:val="16"/>
                <w:szCs w:val="16"/>
                <w:lang w:eastAsia="en-NZ"/>
              </w:rPr>
              <w:t>Residential</w:t>
            </w:r>
          </w:p>
        </w:tc>
        <w:tc>
          <w:tcPr>
            <w:tcW w:w="560" w:type="dxa"/>
            <w:tcBorders>
              <w:top w:val="nil"/>
              <w:left w:val="nil"/>
              <w:bottom w:val="single" w:sz="8" w:space="0" w:color="auto"/>
              <w:right w:val="single" w:sz="8" w:space="0" w:color="auto"/>
            </w:tcBorders>
            <w:shd w:val="clear" w:color="auto" w:fill="auto"/>
            <w:noWrap/>
            <w:hideMark/>
          </w:tcPr>
          <w:p w:rsidR="009709A1" w:rsidRPr="0095167C" w:rsidRDefault="009709A1" w:rsidP="008A7D76">
            <w:pPr>
              <w:jc w:val="left"/>
              <w:rPr>
                <w:rFonts w:ascii="Arial" w:hAnsi="Arial" w:cs="Arial"/>
                <w:sz w:val="16"/>
                <w:szCs w:val="16"/>
                <w:lang w:eastAsia="en-NZ"/>
              </w:rPr>
            </w:pPr>
            <w:r w:rsidRPr="0095167C">
              <w:rPr>
                <w:rFonts w:ascii="Arial" w:hAnsi="Arial" w:cs="Arial"/>
                <w:sz w:val="16"/>
                <w:szCs w:val="16"/>
                <w:lang w:eastAsia="en-NZ"/>
              </w:rPr>
              <w:t>Kg</w:t>
            </w:r>
          </w:p>
        </w:tc>
        <w:tc>
          <w:tcPr>
            <w:tcW w:w="1021" w:type="dxa"/>
            <w:tcBorders>
              <w:top w:val="nil"/>
              <w:left w:val="nil"/>
              <w:bottom w:val="single" w:sz="8" w:space="0" w:color="auto"/>
              <w:right w:val="single" w:sz="8" w:space="0" w:color="auto"/>
            </w:tcBorders>
            <w:shd w:val="clear" w:color="000000" w:fill="FFFFFF"/>
            <w:noWrap/>
            <w:vAlign w:val="bottom"/>
            <w:hideMark/>
          </w:tcPr>
          <w:p w:rsidR="009709A1" w:rsidRPr="0095167C" w:rsidRDefault="009709A1" w:rsidP="008A7D76">
            <w:pPr>
              <w:jc w:val="center"/>
              <w:rPr>
                <w:rFonts w:ascii="Arial" w:hAnsi="Arial" w:cs="Arial"/>
                <w:sz w:val="16"/>
                <w:szCs w:val="16"/>
                <w:lang w:eastAsia="en-NZ"/>
              </w:rPr>
            </w:pPr>
            <w:r w:rsidRPr="00A56619">
              <w:rPr>
                <w:rFonts w:ascii="Arial" w:hAnsi="Arial" w:cs="Arial"/>
                <w:sz w:val="16"/>
                <w:szCs w:val="16"/>
              </w:rPr>
              <w:t>21.59</w:t>
            </w:r>
          </w:p>
        </w:tc>
        <w:tc>
          <w:tcPr>
            <w:tcW w:w="1469" w:type="dxa"/>
            <w:tcBorders>
              <w:top w:val="nil"/>
              <w:left w:val="nil"/>
              <w:bottom w:val="single" w:sz="8" w:space="0" w:color="auto"/>
              <w:right w:val="single" w:sz="8" w:space="0" w:color="auto"/>
            </w:tcBorders>
            <w:shd w:val="clear" w:color="000000" w:fill="FFFFFF"/>
            <w:noWrap/>
            <w:vAlign w:val="bottom"/>
            <w:hideMark/>
          </w:tcPr>
          <w:p w:rsidR="009709A1" w:rsidRPr="0095167C" w:rsidRDefault="009709A1" w:rsidP="007F2CFF">
            <w:pPr>
              <w:jc w:val="right"/>
              <w:rPr>
                <w:rFonts w:ascii="Arial" w:hAnsi="Arial" w:cs="Arial"/>
                <w:sz w:val="16"/>
                <w:szCs w:val="16"/>
                <w:lang w:eastAsia="en-NZ"/>
              </w:rPr>
            </w:pPr>
            <w:r w:rsidRPr="00A56619">
              <w:rPr>
                <w:rFonts w:ascii="Arial" w:hAnsi="Arial" w:cs="Arial"/>
                <w:sz w:val="16"/>
                <w:szCs w:val="16"/>
              </w:rPr>
              <w:t>91.99</w:t>
            </w:r>
          </w:p>
        </w:tc>
        <w:tc>
          <w:tcPr>
            <w:tcW w:w="1467" w:type="dxa"/>
            <w:tcBorders>
              <w:top w:val="nil"/>
              <w:left w:val="nil"/>
              <w:bottom w:val="single" w:sz="8" w:space="0" w:color="auto"/>
              <w:right w:val="single" w:sz="8" w:space="0" w:color="auto"/>
            </w:tcBorders>
            <w:shd w:val="clear" w:color="auto" w:fill="auto"/>
            <w:noWrap/>
            <w:vAlign w:val="bottom"/>
            <w:hideMark/>
          </w:tcPr>
          <w:p w:rsidR="009709A1" w:rsidRPr="0095167C" w:rsidRDefault="009709A1" w:rsidP="007F2CFF">
            <w:pPr>
              <w:jc w:val="right"/>
              <w:rPr>
                <w:rFonts w:ascii="Arial" w:hAnsi="Arial" w:cs="Arial"/>
                <w:color w:val="000000"/>
                <w:sz w:val="16"/>
                <w:szCs w:val="16"/>
                <w:lang w:eastAsia="en-NZ"/>
              </w:rPr>
            </w:pPr>
            <w:r w:rsidRPr="00A56619">
              <w:rPr>
                <w:rFonts w:ascii="Arial" w:hAnsi="Arial" w:cs="Arial"/>
                <w:sz w:val="16"/>
                <w:szCs w:val="16"/>
              </w:rPr>
              <w:t>0.285</w:t>
            </w:r>
          </w:p>
        </w:tc>
        <w:tc>
          <w:tcPr>
            <w:tcW w:w="1565" w:type="dxa"/>
            <w:tcBorders>
              <w:top w:val="nil"/>
              <w:left w:val="nil"/>
              <w:bottom w:val="single" w:sz="8" w:space="0" w:color="auto"/>
              <w:right w:val="single" w:sz="8" w:space="0" w:color="auto"/>
            </w:tcBorders>
            <w:shd w:val="clear" w:color="auto" w:fill="auto"/>
            <w:noWrap/>
            <w:vAlign w:val="bottom"/>
          </w:tcPr>
          <w:p w:rsidR="009709A1" w:rsidRPr="0095167C" w:rsidRDefault="009709A1" w:rsidP="007F2CFF">
            <w:pPr>
              <w:jc w:val="right"/>
              <w:rPr>
                <w:rFonts w:ascii="Arial" w:hAnsi="Arial" w:cs="Arial"/>
                <w:color w:val="000000"/>
                <w:sz w:val="16"/>
                <w:szCs w:val="16"/>
                <w:lang w:eastAsia="en-NZ"/>
              </w:rPr>
            </w:pPr>
            <w:r w:rsidRPr="00A56619">
              <w:rPr>
                <w:rFonts w:ascii="Arial" w:hAnsi="Arial" w:cs="Arial"/>
                <w:sz w:val="16"/>
                <w:szCs w:val="16"/>
              </w:rPr>
              <w:t>0.00143</w:t>
            </w:r>
          </w:p>
        </w:tc>
      </w:tr>
      <w:tr w:rsidR="00B514B3" w:rsidRPr="0095167C" w:rsidTr="00680FA7">
        <w:trPr>
          <w:cantSplit/>
          <w:trHeight w:val="276"/>
        </w:trPr>
        <w:tc>
          <w:tcPr>
            <w:tcW w:w="1479" w:type="dxa"/>
            <w:tcBorders>
              <w:top w:val="nil"/>
              <w:left w:val="single" w:sz="8" w:space="0" w:color="auto"/>
              <w:bottom w:val="single" w:sz="8" w:space="0" w:color="auto"/>
              <w:right w:val="single" w:sz="8" w:space="0" w:color="auto"/>
            </w:tcBorders>
            <w:shd w:val="clear" w:color="auto" w:fill="auto"/>
            <w:noWrap/>
            <w:hideMark/>
          </w:tcPr>
          <w:p w:rsidR="009709A1" w:rsidRPr="0095167C" w:rsidRDefault="009709A1" w:rsidP="008A7D76">
            <w:pPr>
              <w:jc w:val="left"/>
              <w:rPr>
                <w:rFonts w:ascii="Arial" w:hAnsi="Arial" w:cs="Arial"/>
                <w:sz w:val="16"/>
                <w:szCs w:val="16"/>
                <w:lang w:eastAsia="en-NZ"/>
              </w:rPr>
            </w:pPr>
            <w:r w:rsidRPr="0095167C">
              <w:rPr>
                <w:rFonts w:ascii="Arial" w:hAnsi="Arial" w:cs="Arial"/>
                <w:sz w:val="16"/>
                <w:szCs w:val="16"/>
                <w:lang w:eastAsia="en-NZ"/>
              </w:rPr>
              <w:t>Coal – lignite</w:t>
            </w:r>
          </w:p>
        </w:tc>
        <w:tc>
          <w:tcPr>
            <w:tcW w:w="1061" w:type="dxa"/>
            <w:tcBorders>
              <w:top w:val="nil"/>
              <w:left w:val="nil"/>
              <w:bottom w:val="single" w:sz="8" w:space="0" w:color="auto"/>
              <w:right w:val="single" w:sz="8" w:space="0" w:color="auto"/>
            </w:tcBorders>
            <w:shd w:val="clear" w:color="auto" w:fill="auto"/>
            <w:noWrap/>
            <w:hideMark/>
          </w:tcPr>
          <w:p w:rsidR="009709A1" w:rsidRPr="0095167C" w:rsidRDefault="009709A1" w:rsidP="008A7D76">
            <w:pPr>
              <w:jc w:val="left"/>
              <w:rPr>
                <w:rFonts w:ascii="Arial" w:hAnsi="Arial" w:cs="Arial"/>
                <w:sz w:val="16"/>
                <w:szCs w:val="16"/>
                <w:lang w:eastAsia="en-NZ"/>
              </w:rPr>
            </w:pPr>
            <w:r w:rsidRPr="0095167C">
              <w:rPr>
                <w:rFonts w:ascii="Arial" w:hAnsi="Arial" w:cs="Arial"/>
                <w:sz w:val="16"/>
                <w:szCs w:val="16"/>
                <w:lang w:eastAsia="en-NZ"/>
              </w:rPr>
              <w:t>Residential</w:t>
            </w:r>
          </w:p>
        </w:tc>
        <w:tc>
          <w:tcPr>
            <w:tcW w:w="560" w:type="dxa"/>
            <w:tcBorders>
              <w:top w:val="nil"/>
              <w:left w:val="nil"/>
              <w:bottom w:val="single" w:sz="8" w:space="0" w:color="auto"/>
              <w:right w:val="single" w:sz="8" w:space="0" w:color="auto"/>
            </w:tcBorders>
            <w:shd w:val="clear" w:color="auto" w:fill="auto"/>
            <w:noWrap/>
            <w:hideMark/>
          </w:tcPr>
          <w:p w:rsidR="009709A1" w:rsidRPr="0095167C" w:rsidRDefault="009709A1" w:rsidP="008A7D76">
            <w:pPr>
              <w:jc w:val="left"/>
              <w:rPr>
                <w:rFonts w:ascii="Arial" w:hAnsi="Arial" w:cs="Arial"/>
                <w:sz w:val="16"/>
                <w:szCs w:val="16"/>
                <w:lang w:eastAsia="en-NZ"/>
              </w:rPr>
            </w:pPr>
            <w:r w:rsidRPr="0095167C">
              <w:rPr>
                <w:rFonts w:ascii="Arial" w:hAnsi="Arial" w:cs="Arial"/>
                <w:sz w:val="16"/>
                <w:szCs w:val="16"/>
                <w:lang w:eastAsia="en-NZ"/>
              </w:rPr>
              <w:t>Kg</w:t>
            </w:r>
          </w:p>
        </w:tc>
        <w:tc>
          <w:tcPr>
            <w:tcW w:w="1021" w:type="dxa"/>
            <w:tcBorders>
              <w:top w:val="nil"/>
              <w:left w:val="nil"/>
              <w:bottom w:val="single" w:sz="8" w:space="0" w:color="auto"/>
              <w:right w:val="single" w:sz="8" w:space="0" w:color="auto"/>
            </w:tcBorders>
            <w:shd w:val="clear" w:color="000000" w:fill="FFFFFF"/>
            <w:noWrap/>
            <w:vAlign w:val="bottom"/>
            <w:hideMark/>
          </w:tcPr>
          <w:p w:rsidR="009709A1" w:rsidRPr="0095167C" w:rsidRDefault="009709A1" w:rsidP="008A7D76">
            <w:pPr>
              <w:jc w:val="center"/>
              <w:rPr>
                <w:rFonts w:ascii="Arial" w:hAnsi="Arial" w:cs="Arial"/>
                <w:sz w:val="16"/>
                <w:szCs w:val="16"/>
                <w:lang w:eastAsia="en-NZ"/>
              </w:rPr>
            </w:pPr>
            <w:r w:rsidRPr="00A56619">
              <w:rPr>
                <w:rFonts w:ascii="Arial" w:hAnsi="Arial" w:cs="Arial"/>
                <w:sz w:val="16"/>
                <w:szCs w:val="16"/>
              </w:rPr>
              <w:t>15.27</w:t>
            </w:r>
          </w:p>
        </w:tc>
        <w:tc>
          <w:tcPr>
            <w:tcW w:w="1469" w:type="dxa"/>
            <w:tcBorders>
              <w:top w:val="nil"/>
              <w:left w:val="nil"/>
              <w:bottom w:val="single" w:sz="8" w:space="0" w:color="auto"/>
              <w:right w:val="single" w:sz="8" w:space="0" w:color="auto"/>
            </w:tcBorders>
            <w:shd w:val="clear" w:color="000000" w:fill="FFFFFF"/>
            <w:noWrap/>
            <w:vAlign w:val="bottom"/>
            <w:hideMark/>
          </w:tcPr>
          <w:p w:rsidR="009709A1" w:rsidRPr="0095167C" w:rsidRDefault="009709A1" w:rsidP="007F2CFF">
            <w:pPr>
              <w:jc w:val="right"/>
              <w:rPr>
                <w:rFonts w:ascii="Arial" w:hAnsi="Arial" w:cs="Arial"/>
                <w:sz w:val="16"/>
                <w:szCs w:val="16"/>
                <w:lang w:eastAsia="en-NZ"/>
              </w:rPr>
            </w:pPr>
            <w:r w:rsidRPr="00A56619">
              <w:rPr>
                <w:rFonts w:ascii="Arial" w:hAnsi="Arial" w:cs="Arial"/>
                <w:sz w:val="16"/>
                <w:szCs w:val="16"/>
              </w:rPr>
              <w:t>93.11</w:t>
            </w:r>
          </w:p>
        </w:tc>
        <w:tc>
          <w:tcPr>
            <w:tcW w:w="1467" w:type="dxa"/>
            <w:tcBorders>
              <w:top w:val="nil"/>
              <w:left w:val="nil"/>
              <w:bottom w:val="single" w:sz="8" w:space="0" w:color="auto"/>
              <w:right w:val="single" w:sz="8" w:space="0" w:color="auto"/>
            </w:tcBorders>
            <w:shd w:val="clear" w:color="auto" w:fill="auto"/>
            <w:noWrap/>
            <w:vAlign w:val="bottom"/>
            <w:hideMark/>
          </w:tcPr>
          <w:p w:rsidR="009709A1" w:rsidRPr="0095167C" w:rsidRDefault="009709A1" w:rsidP="007F2CFF">
            <w:pPr>
              <w:jc w:val="right"/>
              <w:rPr>
                <w:rFonts w:ascii="Arial" w:hAnsi="Arial" w:cs="Arial"/>
                <w:sz w:val="16"/>
                <w:szCs w:val="16"/>
                <w:lang w:eastAsia="en-NZ"/>
              </w:rPr>
            </w:pPr>
            <w:r w:rsidRPr="00A56619">
              <w:rPr>
                <w:rFonts w:ascii="Arial" w:hAnsi="Arial" w:cs="Arial"/>
                <w:sz w:val="16"/>
                <w:szCs w:val="16"/>
              </w:rPr>
              <w:t>0.285</w:t>
            </w:r>
          </w:p>
        </w:tc>
        <w:tc>
          <w:tcPr>
            <w:tcW w:w="1565" w:type="dxa"/>
            <w:tcBorders>
              <w:top w:val="nil"/>
              <w:left w:val="nil"/>
              <w:bottom w:val="single" w:sz="8" w:space="0" w:color="auto"/>
              <w:right w:val="single" w:sz="8" w:space="0" w:color="auto"/>
            </w:tcBorders>
            <w:shd w:val="clear" w:color="auto" w:fill="auto"/>
            <w:noWrap/>
            <w:vAlign w:val="bottom"/>
          </w:tcPr>
          <w:p w:rsidR="009709A1" w:rsidRPr="0095167C" w:rsidRDefault="009709A1" w:rsidP="007F2CFF">
            <w:pPr>
              <w:jc w:val="right"/>
              <w:rPr>
                <w:rFonts w:ascii="Arial" w:hAnsi="Arial" w:cs="Arial"/>
                <w:sz w:val="16"/>
                <w:szCs w:val="16"/>
                <w:lang w:eastAsia="en-NZ"/>
              </w:rPr>
            </w:pPr>
            <w:r w:rsidRPr="00A56619">
              <w:rPr>
                <w:rFonts w:ascii="Arial" w:hAnsi="Arial" w:cs="Arial"/>
                <w:sz w:val="16"/>
                <w:szCs w:val="16"/>
              </w:rPr>
              <w:t>0.00143</w:t>
            </w:r>
          </w:p>
        </w:tc>
      </w:tr>
      <w:tr w:rsidR="00B514B3" w:rsidRPr="0095167C" w:rsidTr="00680FA7">
        <w:trPr>
          <w:cantSplit/>
          <w:trHeight w:val="276"/>
        </w:trPr>
        <w:tc>
          <w:tcPr>
            <w:tcW w:w="1479" w:type="dxa"/>
            <w:vMerge w:val="restart"/>
            <w:tcBorders>
              <w:top w:val="nil"/>
              <w:left w:val="single" w:sz="8" w:space="0" w:color="auto"/>
              <w:bottom w:val="single" w:sz="8" w:space="0" w:color="000000"/>
              <w:right w:val="single" w:sz="8" w:space="0" w:color="auto"/>
            </w:tcBorders>
            <w:shd w:val="clear" w:color="auto" w:fill="auto"/>
            <w:noWrap/>
            <w:hideMark/>
          </w:tcPr>
          <w:p w:rsidR="009709A1" w:rsidRPr="0095167C" w:rsidRDefault="009709A1" w:rsidP="008A7D76">
            <w:pPr>
              <w:jc w:val="left"/>
              <w:rPr>
                <w:rFonts w:ascii="Arial" w:hAnsi="Arial" w:cs="Arial"/>
                <w:sz w:val="16"/>
                <w:szCs w:val="16"/>
                <w:lang w:eastAsia="en-NZ"/>
              </w:rPr>
            </w:pPr>
            <w:r w:rsidRPr="0095167C">
              <w:rPr>
                <w:rFonts w:ascii="Arial" w:hAnsi="Arial" w:cs="Arial"/>
                <w:sz w:val="16"/>
                <w:szCs w:val="16"/>
                <w:lang w:eastAsia="en-NZ"/>
              </w:rPr>
              <w:t>Distributed natural gas</w:t>
            </w:r>
          </w:p>
        </w:tc>
        <w:tc>
          <w:tcPr>
            <w:tcW w:w="1061" w:type="dxa"/>
            <w:vMerge w:val="restart"/>
            <w:tcBorders>
              <w:top w:val="nil"/>
              <w:left w:val="single" w:sz="8" w:space="0" w:color="auto"/>
              <w:bottom w:val="single" w:sz="8" w:space="0" w:color="000000"/>
              <w:right w:val="single" w:sz="8" w:space="0" w:color="auto"/>
            </w:tcBorders>
            <w:shd w:val="clear" w:color="auto" w:fill="auto"/>
            <w:noWrap/>
            <w:hideMark/>
          </w:tcPr>
          <w:p w:rsidR="009709A1" w:rsidRPr="0095167C" w:rsidRDefault="009709A1" w:rsidP="008A7D76">
            <w:pPr>
              <w:jc w:val="left"/>
              <w:rPr>
                <w:rFonts w:ascii="Arial" w:hAnsi="Arial" w:cs="Arial"/>
                <w:sz w:val="16"/>
                <w:szCs w:val="16"/>
                <w:lang w:eastAsia="en-NZ"/>
              </w:rPr>
            </w:pPr>
            <w:r w:rsidRPr="0095167C">
              <w:rPr>
                <w:rFonts w:ascii="Arial" w:hAnsi="Arial" w:cs="Arial"/>
                <w:sz w:val="16"/>
                <w:szCs w:val="16"/>
                <w:lang w:eastAsia="en-NZ"/>
              </w:rPr>
              <w:t>Commercial</w:t>
            </w:r>
          </w:p>
        </w:tc>
        <w:tc>
          <w:tcPr>
            <w:tcW w:w="560" w:type="dxa"/>
            <w:tcBorders>
              <w:top w:val="nil"/>
              <w:left w:val="nil"/>
              <w:bottom w:val="single" w:sz="8" w:space="0" w:color="auto"/>
              <w:right w:val="single" w:sz="8" w:space="0" w:color="auto"/>
            </w:tcBorders>
            <w:shd w:val="clear" w:color="auto" w:fill="auto"/>
            <w:noWrap/>
            <w:hideMark/>
          </w:tcPr>
          <w:p w:rsidR="009709A1" w:rsidRPr="0095167C" w:rsidRDefault="009709A1" w:rsidP="008A7D76">
            <w:pPr>
              <w:jc w:val="left"/>
              <w:rPr>
                <w:rFonts w:ascii="Arial" w:hAnsi="Arial" w:cs="Arial"/>
                <w:sz w:val="16"/>
                <w:szCs w:val="16"/>
                <w:lang w:eastAsia="en-NZ"/>
              </w:rPr>
            </w:pPr>
            <w:r w:rsidRPr="0095167C">
              <w:rPr>
                <w:rFonts w:ascii="Arial" w:hAnsi="Arial" w:cs="Arial"/>
                <w:sz w:val="16"/>
                <w:szCs w:val="16"/>
                <w:lang w:eastAsia="en-NZ"/>
              </w:rPr>
              <w:t>KWh</w:t>
            </w:r>
          </w:p>
        </w:tc>
        <w:tc>
          <w:tcPr>
            <w:tcW w:w="1021" w:type="dxa"/>
            <w:tcBorders>
              <w:top w:val="nil"/>
              <w:left w:val="nil"/>
              <w:bottom w:val="single" w:sz="8" w:space="0" w:color="auto"/>
              <w:right w:val="single" w:sz="8" w:space="0" w:color="auto"/>
            </w:tcBorders>
            <w:shd w:val="clear" w:color="auto" w:fill="auto"/>
            <w:noWrap/>
            <w:vAlign w:val="bottom"/>
            <w:hideMark/>
          </w:tcPr>
          <w:p w:rsidR="009709A1" w:rsidRPr="0095167C" w:rsidRDefault="009709A1" w:rsidP="008A7D76">
            <w:pPr>
              <w:jc w:val="center"/>
              <w:rPr>
                <w:rFonts w:ascii="Arial" w:hAnsi="Arial" w:cs="Arial"/>
                <w:sz w:val="16"/>
                <w:szCs w:val="16"/>
                <w:lang w:eastAsia="en-NZ"/>
              </w:rPr>
            </w:pPr>
            <w:r w:rsidRPr="00A56619">
              <w:rPr>
                <w:rFonts w:ascii="Arial" w:hAnsi="Arial" w:cs="Arial"/>
                <w:sz w:val="16"/>
                <w:szCs w:val="16"/>
              </w:rPr>
              <w:t>NA</w:t>
            </w:r>
          </w:p>
        </w:tc>
        <w:tc>
          <w:tcPr>
            <w:tcW w:w="1469" w:type="dxa"/>
            <w:tcBorders>
              <w:top w:val="nil"/>
              <w:left w:val="nil"/>
              <w:bottom w:val="single" w:sz="8" w:space="0" w:color="auto"/>
              <w:right w:val="single" w:sz="8" w:space="0" w:color="auto"/>
            </w:tcBorders>
            <w:shd w:val="clear" w:color="auto" w:fill="auto"/>
            <w:noWrap/>
            <w:vAlign w:val="bottom"/>
            <w:hideMark/>
          </w:tcPr>
          <w:p w:rsidR="009709A1" w:rsidRPr="0095167C" w:rsidRDefault="009709A1" w:rsidP="007F2CFF">
            <w:pPr>
              <w:jc w:val="right"/>
              <w:rPr>
                <w:rFonts w:ascii="Arial" w:hAnsi="Arial" w:cs="Arial"/>
                <w:sz w:val="16"/>
                <w:szCs w:val="16"/>
                <w:lang w:eastAsia="en-NZ"/>
              </w:rPr>
            </w:pPr>
            <w:r w:rsidRPr="00A56619">
              <w:rPr>
                <w:rFonts w:ascii="Arial" w:hAnsi="Arial" w:cs="Arial"/>
                <w:sz w:val="16"/>
                <w:szCs w:val="16"/>
              </w:rPr>
              <w:t>0.19</w:t>
            </w:r>
          </w:p>
        </w:tc>
        <w:tc>
          <w:tcPr>
            <w:tcW w:w="1467" w:type="dxa"/>
            <w:tcBorders>
              <w:top w:val="nil"/>
              <w:left w:val="nil"/>
              <w:bottom w:val="single" w:sz="8" w:space="0" w:color="auto"/>
              <w:right w:val="single" w:sz="8" w:space="0" w:color="auto"/>
            </w:tcBorders>
            <w:shd w:val="clear" w:color="auto" w:fill="auto"/>
            <w:noWrap/>
            <w:vAlign w:val="bottom"/>
            <w:hideMark/>
          </w:tcPr>
          <w:p w:rsidR="009709A1" w:rsidRPr="0095167C" w:rsidRDefault="009709A1" w:rsidP="007F2CFF">
            <w:pPr>
              <w:jc w:val="right"/>
              <w:rPr>
                <w:rFonts w:ascii="Arial" w:hAnsi="Arial" w:cs="Arial"/>
                <w:sz w:val="16"/>
                <w:szCs w:val="16"/>
                <w:lang w:eastAsia="en-NZ"/>
              </w:rPr>
            </w:pPr>
            <w:r w:rsidRPr="00A56619">
              <w:rPr>
                <w:rFonts w:ascii="Arial" w:hAnsi="Arial" w:cs="Arial"/>
                <w:sz w:val="16"/>
                <w:szCs w:val="16"/>
              </w:rPr>
              <w:t>0.0000162</w:t>
            </w:r>
          </w:p>
        </w:tc>
        <w:tc>
          <w:tcPr>
            <w:tcW w:w="1565" w:type="dxa"/>
            <w:tcBorders>
              <w:top w:val="nil"/>
              <w:left w:val="nil"/>
              <w:bottom w:val="single" w:sz="8" w:space="0" w:color="auto"/>
              <w:right w:val="single" w:sz="8" w:space="0" w:color="auto"/>
            </w:tcBorders>
            <w:shd w:val="clear" w:color="auto" w:fill="auto"/>
            <w:noWrap/>
            <w:vAlign w:val="bottom"/>
            <w:hideMark/>
          </w:tcPr>
          <w:p w:rsidR="009709A1" w:rsidRPr="0095167C" w:rsidRDefault="009709A1" w:rsidP="007F2CFF">
            <w:pPr>
              <w:jc w:val="right"/>
              <w:rPr>
                <w:rFonts w:ascii="Arial" w:hAnsi="Arial" w:cs="Arial"/>
                <w:sz w:val="16"/>
                <w:szCs w:val="16"/>
                <w:lang w:eastAsia="en-NZ"/>
              </w:rPr>
            </w:pPr>
            <w:r w:rsidRPr="00A56619">
              <w:rPr>
                <w:rFonts w:ascii="Arial" w:hAnsi="Arial" w:cs="Arial"/>
                <w:sz w:val="16"/>
                <w:szCs w:val="16"/>
              </w:rPr>
              <w:t>0.000000324</w:t>
            </w:r>
          </w:p>
        </w:tc>
      </w:tr>
      <w:tr w:rsidR="00B514B3" w:rsidRPr="0095167C" w:rsidTr="00680FA7">
        <w:trPr>
          <w:trHeight w:val="276"/>
        </w:trPr>
        <w:tc>
          <w:tcPr>
            <w:tcW w:w="1479" w:type="dxa"/>
            <w:vMerge/>
            <w:tcBorders>
              <w:top w:val="nil"/>
              <w:left w:val="single" w:sz="8" w:space="0" w:color="auto"/>
              <w:bottom w:val="single" w:sz="8" w:space="0" w:color="000000"/>
              <w:right w:val="single" w:sz="8" w:space="0" w:color="auto"/>
            </w:tcBorders>
            <w:vAlign w:val="center"/>
            <w:hideMark/>
          </w:tcPr>
          <w:p w:rsidR="009709A1" w:rsidRPr="0095167C" w:rsidRDefault="009709A1" w:rsidP="008A7D76">
            <w:pPr>
              <w:jc w:val="left"/>
              <w:rPr>
                <w:rFonts w:ascii="Arial" w:hAnsi="Arial" w:cs="Arial"/>
                <w:sz w:val="16"/>
                <w:szCs w:val="16"/>
                <w:lang w:eastAsia="en-NZ"/>
              </w:rPr>
            </w:pPr>
          </w:p>
        </w:tc>
        <w:tc>
          <w:tcPr>
            <w:tcW w:w="1061" w:type="dxa"/>
            <w:vMerge/>
            <w:tcBorders>
              <w:top w:val="nil"/>
              <w:left w:val="single" w:sz="8" w:space="0" w:color="auto"/>
              <w:bottom w:val="single" w:sz="8" w:space="0" w:color="000000"/>
              <w:right w:val="single" w:sz="8" w:space="0" w:color="auto"/>
            </w:tcBorders>
            <w:vAlign w:val="center"/>
            <w:hideMark/>
          </w:tcPr>
          <w:p w:rsidR="009709A1" w:rsidRPr="0095167C" w:rsidRDefault="009709A1" w:rsidP="008A7D76">
            <w:pPr>
              <w:jc w:val="left"/>
              <w:rPr>
                <w:rFonts w:ascii="Arial" w:hAnsi="Arial" w:cs="Arial"/>
                <w:sz w:val="16"/>
                <w:szCs w:val="16"/>
                <w:lang w:eastAsia="en-NZ"/>
              </w:rPr>
            </w:pPr>
          </w:p>
        </w:tc>
        <w:tc>
          <w:tcPr>
            <w:tcW w:w="560" w:type="dxa"/>
            <w:tcBorders>
              <w:top w:val="nil"/>
              <w:left w:val="nil"/>
              <w:bottom w:val="single" w:sz="8" w:space="0" w:color="auto"/>
              <w:right w:val="single" w:sz="8" w:space="0" w:color="auto"/>
            </w:tcBorders>
            <w:shd w:val="clear" w:color="auto" w:fill="auto"/>
            <w:noWrap/>
            <w:hideMark/>
          </w:tcPr>
          <w:p w:rsidR="009709A1" w:rsidRPr="0095167C" w:rsidRDefault="009709A1" w:rsidP="008A7D76">
            <w:pPr>
              <w:jc w:val="left"/>
              <w:rPr>
                <w:rFonts w:ascii="Arial" w:hAnsi="Arial" w:cs="Arial"/>
                <w:sz w:val="16"/>
                <w:szCs w:val="16"/>
                <w:lang w:eastAsia="en-NZ"/>
              </w:rPr>
            </w:pPr>
            <w:r w:rsidRPr="0095167C">
              <w:rPr>
                <w:rFonts w:ascii="Arial" w:hAnsi="Arial" w:cs="Arial"/>
                <w:sz w:val="16"/>
                <w:szCs w:val="16"/>
                <w:lang w:eastAsia="en-NZ"/>
              </w:rPr>
              <w:t>GJ</w:t>
            </w:r>
          </w:p>
        </w:tc>
        <w:tc>
          <w:tcPr>
            <w:tcW w:w="1021" w:type="dxa"/>
            <w:tcBorders>
              <w:top w:val="nil"/>
              <w:left w:val="nil"/>
              <w:bottom w:val="single" w:sz="8" w:space="0" w:color="auto"/>
              <w:right w:val="single" w:sz="8" w:space="0" w:color="auto"/>
            </w:tcBorders>
            <w:shd w:val="clear" w:color="auto" w:fill="auto"/>
            <w:noWrap/>
            <w:vAlign w:val="bottom"/>
            <w:hideMark/>
          </w:tcPr>
          <w:p w:rsidR="009709A1" w:rsidRPr="0095167C" w:rsidRDefault="009709A1" w:rsidP="008A7D76">
            <w:pPr>
              <w:jc w:val="center"/>
              <w:rPr>
                <w:rFonts w:ascii="Arial" w:hAnsi="Arial" w:cs="Arial"/>
                <w:sz w:val="16"/>
                <w:szCs w:val="16"/>
                <w:lang w:eastAsia="en-NZ"/>
              </w:rPr>
            </w:pPr>
            <w:r w:rsidRPr="00A56619">
              <w:rPr>
                <w:rFonts w:ascii="Arial" w:hAnsi="Arial" w:cs="Arial"/>
                <w:sz w:val="16"/>
                <w:szCs w:val="16"/>
              </w:rPr>
              <w:t>NA</w:t>
            </w:r>
          </w:p>
        </w:tc>
        <w:tc>
          <w:tcPr>
            <w:tcW w:w="1469" w:type="dxa"/>
            <w:tcBorders>
              <w:top w:val="nil"/>
              <w:left w:val="nil"/>
              <w:bottom w:val="single" w:sz="8" w:space="0" w:color="auto"/>
              <w:right w:val="single" w:sz="8" w:space="0" w:color="auto"/>
            </w:tcBorders>
            <w:shd w:val="clear" w:color="auto" w:fill="auto"/>
            <w:noWrap/>
            <w:vAlign w:val="bottom"/>
            <w:hideMark/>
          </w:tcPr>
          <w:p w:rsidR="009709A1" w:rsidRPr="0095167C" w:rsidRDefault="009709A1" w:rsidP="007F2CFF">
            <w:pPr>
              <w:jc w:val="right"/>
              <w:rPr>
                <w:rFonts w:ascii="Arial" w:hAnsi="Arial" w:cs="Arial"/>
                <w:sz w:val="16"/>
                <w:szCs w:val="16"/>
                <w:lang w:eastAsia="en-NZ"/>
              </w:rPr>
            </w:pPr>
            <w:r w:rsidRPr="00A56619">
              <w:rPr>
                <w:rFonts w:ascii="Arial" w:hAnsi="Arial" w:cs="Arial"/>
                <w:sz w:val="16"/>
                <w:szCs w:val="16"/>
              </w:rPr>
              <w:t>53.81</w:t>
            </w:r>
          </w:p>
        </w:tc>
        <w:tc>
          <w:tcPr>
            <w:tcW w:w="1467" w:type="dxa"/>
            <w:tcBorders>
              <w:top w:val="nil"/>
              <w:left w:val="nil"/>
              <w:bottom w:val="single" w:sz="8" w:space="0" w:color="auto"/>
              <w:right w:val="single" w:sz="8" w:space="0" w:color="auto"/>
            </w:tcBorders>
            <w:shd w:val="clear" w:color="auto" w:fill="auto"/>
            <w:noWrap/>
            <w:vAlign w:val="bottom"/>
            <w:hideMark/>
          </w:tcPr>
          <w:p w:rsidR="009709A1" w:rsidRPr="0095167C" w:rsidRDefault="007F186F" w:rsidP="007F2CFF">
            <w:pPr>
              <w:jc w:val="right"/>
              <w:rPr>
                <w:rFonts w:ascii="Arial" w:hAnsi="Arial" w:cs="Arial"/>
                <w:sz w:val="16"/>
                <w:szCs w:val="16"/>
                <w:lang w:eastAsia="en-NZ"/>
              </w:rPr>
            </w:pPr>
            <w:r>
              <w:rPr>
                <w:rFonts w:ascii="Arial" w:hAnsi="Arial" w:cs="Arial"/>
                <w:sz w:val="16"/>
                <w:szCs w:val="16"/>
              </w:rPr>
              <w:t>0.0045</w:t>
            </w:r>
          </w:p>
        </w:tc>
        <w:tc>
          <w:tcPr>
            <w:tcW w:w="1565" w:type="dxa"/>
            <w:tcBorders>
              <w:top w:val="nil"/>
              <w:left w:val="nil"/>
              <w:bottom w:val="single" w:sz="8" w:space="0" w:color="auto"/>
              <w:right w:val="single" w:sz="8" w:space="0" w:color="auto"/>
            </w:tcBorders>
            <w:shd w:val="clear" w:color="auto" w:fill="auto"/>
            <w:noWrap/>
            <w:vAlign w:val="bottom"/>
            <w:hideMark/>
          </w:tcPr>
          <w:p w:rsidR="009709A1" w:rsidRPr="0095167C" w:rsidRDefault="009709A1" w:rsidP="007F2CFF">
            <w:pPr>
              <w:jc w:val="right"/>
              <w:rPr>
                <w:rFonts w:ascii="Arial" w:hAnsi="Arial" w:cs="Arial"/>
                <w:sz w:val="16"/>
                <w:szCs w:val="16"/>
                <w:lang w:eastAsia="en-NZ"/>
              </w:rPr>
            </w:pPr>
            <w:r w:rsidRPr="00A56619">
              <w:rPr>
                <w:rFonts w:ascii="Arial" w:hAnsi="Arial" w:cs="Arial"/>
                <w:sz w:val="16"/>
                <w:szCs w:val="16"/>
              </w:rPr>
              <w:t>0.0000900</w:t>
            </w:r>
          </w:p>
        </w:tc>
      </w:tr>
      <w:tr w:rsidR="00B514B3" w:rsidRPr="0095167C" w:rsidTr="00680FA7">
        <w:trPr>
          <w:cantSplit/>
          <w:trHeight w:val="276"/>
        </w:trPr>
        <w:tc>
          <w:tcPr>
            <w:tcW w:w="1479" w:type="dxa"/>
            <w:tcBorders>
              <w:top w:val="nil"/>
              <w:left w:val="single" w:sz="8" w:space="0" w:color="auto"/>
              <w:bottom w:val="single" w:sz="8" w:space="0" w:color="auto"/>
              <w:right w:val="single" w:sz="8" w:space="0" w:color="auto"/>
            </w:tcBorders>
            <w:shd w:val="clear" w:color="auto" w:fill="auto"/>
            <w:noWrap/>
            <w:hideMark/>
          </w:tcPr>
          <w:p w:rsidR="00A73E9E" w:rsidRPr="0095167C" w:rsidRDefault="00A73E9E" w:rsidP="008A7D76">
            <w:pPr>
              <w:jc w:val="left"/>
              <w:rPr>
                <w:rFonts w:ascii="Arial" w:hAnsi="Arial" w:cs="Arial"/>
                <w:sz w:val="16"/>
                <w:szCs w:val="16"/>
                <w:lang w:eastAsia="en-NZ"/>
              </w:rPr>
            </w:pPr>
            <w:r w:rsidRPr="0095167C">
              <w:rPr>
                <w:rFonts w:ascii="Arial" w:hAnsi="Arial" w:cs="Arial"/>
                <w:sz w:val="16"/>
                <w:szCs w:val="16"/>
                <w:lang w:eastAsia="en-NZ"/>
              </w:rPr>
              <w:t>Coal – bituminous</w:t>
            </w:r>
          </w:p>
        </w:tc>
        <w:tc>
          <w:tcPr>
            <w:tcW w:w="1061" w:type="dxa"/>
            <w:tcBorders>
              <w:top w:val="nil"/>
              <w:left w:val="nil"/>
              <w:bottom w:val="single" w:sz="8" w:space="0" w:color="auto"/>
              <w:right w:val="single" w:sz="8" w:space="0" w:color="auto"/>
            </w:tcBorders>
            <w:shd w:val="clear" w:color="auto" w:fill="auto"/>
            <w:noWrap/>
            <w:hideMark/>
          </w:tcPr>
          <w:p w:rsidR="00A73E9E" w:rsidRPr="0095167C" w:rsidRDefault="00A73E9E" w:rsidP="008A7D76">
            <w:pPr>
              <w:jc w:val="left"/>
              <w:rPr>
                <w:rFonts w:ascii="Arial" w:hAnsi="Arial" w:cs="Arial"/>
                <w:sz w:val="16"/>
                <w:szCs w:val="16"/>
                <w:lang w:eastAsia="en-NZ"/>
              </w:rPr>
            </w:pPr>
            <w:r w:rsidRPr="0095167C">
              <w:rPr>
                <w:rFonts w:ascii="Arial" w:hAnsi="Arial" w:cs="Arial"/>
                <w:sz w:val="16"/>
                <w:szCs w:val="16"/>
                <w:lang w:eastAsia="en-NZ"/>
              </w:rPr>
              <w:t>Commercial</w:t>
            </w:r>
          </w:p>
        </w:tc>
        <w:tc>
          <w:tcPr>
            <w:tcW w:w="560" w:type="dxa"/>
            <w:tcBorders>
              <w:top w:val="nil"/>
              <w:left w:val="nil"/>
              <w:bottom w:val="single" w:sz="8" w:space="0" w:color="auto"/>
              <w:right w:val="single" w:sz="8" w:space="0" w:color="auto"/>
            </w:tcBorders>
            <w:shd w:val="clear" w:color="auto" w:fill="auto"/>
            <w:noWrap/>
            <w:hideMark/>
          </w:tcPr>
          <w:p w:rsidR="00A73E9E" w:rsidRPr="0095167C" w:rsidRDefault="00A73E9E" w:rsidP="008A7D76">
            <w:pPr>
              <w:jc w:val="left"/>
              <w:rPr>
                <w:rFonts w:ascii="Arial" w:hAnsi="Arial" w:cs="Arial"/>
                <w:sz w:val="16"/>
                <w:szCs w:val="16"/>
                <w:lang w:eastAsia="en-NZ"/>
              </w:rPr>
            </w:pPr>
            <w:r w:rsidRPr="0095167C">
              <w:rPr>
                <w:rFonts w:ascii="Arial" w:hAnsi="Arial" w:cs="Arial"/>
                <w:sz w:val="16"/>
                <w:szCs w:val="16"/>
                <w:lang w:eastAsia="en-NZ"/>
              </w:rPr>
              <w:t>Kg</w:t>
            </w:r>
          </w:p>
        </w:tc>
        <w:tc>
          <w:tcPr>
            <w:tcW w:w="1021" w:type="dxa"/>
            <w:tcBorders>
              <w:top w:val="nil"/>
              <w:left w:val="nil"/>
              <w:bottom w:val="single" w:sz="8" w:space="0" w:color="auto"/>
              <w:right w:val="single" w:sz="8" w:space="0" w:color="auto"/>
            </w:tcBorders>
            <w:shd w:val="clear" w:color="auto" w:fill="auto"/>
            <w:noWrap/>
            <w:vAlign w:val="bottom"/>
            <w:hideMark/>
          </w:tcPr>
          <w:p w:rsidR="00A73E9E" w:rsidRPr="0095167C" w:rsidRDefault="00A73E9E" w:rsidP="005667C2">
            <w:pPr>
              <w:jc w:val="center"/>
              <w:rPr>
                <w:rFonts w:ascii="Arial" w:hAnsi="Arial" w:cs="Arial"/>
                <w:sz w:val="16"/>
                <w:szCs w:val="16"/>
                <w:lang w:eastAsia="en-NZ"/>
              </w:rPr>
            </w:pPr>
            <w:r w:rsidRPr="00A56619">
              <w:rPr>
                <w:rFonts w:ascii="Arial" w:hAnsi="Arial" w:cs="Arial"/>
                <w:sz w:val="16"/>
                <w:szCs w:val="16"/>
              </w:rPr>
              <w:t>29.87</w:t>
            </w:r>
          </w:p>
        </w:tc>
        <w:tc>
          <w:tcPr>
            <w:tcW w:w="1469" w:type="dxa"/>
            <w:tcBorders>
              <w:top w:val="nil"/>
              <w:left w:val="nil"/>
              <w:bottom w:val="single" w:sz="8" w:space="0" w:color="auto"/>
              <w:right w:val="single" w:sz="8" w:space="0" w:color="auto"/>
            </w:tcBorders>
            <w:shd w:val="clear" w:color="auto" w:fill="auto"/>
            <w:noWrap/>
            <w:vAlign w:val="bottom"/>
            <w:hideMark/>
          </w:tcPr>
          <w:p w:rsidR="00A73E9E" w:rsidRPr="0095167C" w:rsidRDefault="00A73E9E" w:rsidP="007F2CFF">
            <w:pPr>
              <w:jc w:val="right"/>
              <w:rPr>
                <w:rFonts w:ascii="Arial" w:hAnsi="Arial" w:cs="Arial"/>
                <w:sz w:val="16"/>
                <w:szCs w:val="16"/>
                <w:lang w:eastAsia="en-NZ"/>
              </w:rPr>
            </w:pPr>
            <w:r w:rsidRPr="00A56619">
              <w:rPr>
                <w:rFonts w:ascii="Arial" w:hAnsi="Arial" w:cs="Arial"/>
                <w:sz w:val="16"/>
                <w:szCs w:val="16"/>
              </w:rPr>
              <w:t>89.13</w:t>
            </w:r>
          </w:p>
        </w:tc>
        <w:tc>
          <w:tcPr>
            <w:tcW w:w="1467" w:type="dxa"/>
            <w:tcBorders>
              <w:top w:val="nil"/>
              <w:left w:val="nil"/>
              <w:bottom w:val="single" w:sz="8" w:space="0" w:color="auto"/>
              <w:right w:val="single" w:sz="8" w:space="0" w:color="auto"/>
            </w:tcBorders>
            <w:shd w:val="clear" w:color="auto" w:fill="auto"/>
            <w:noWrap/>
            <w:vAlign w:val="bottom"/>
            <w:hideMark/>
          </w:tcPr>
          <w:p w:rsidR="00A73E9E" w:rsidRPr="0095167C" w:rsidRDefault="004A548B" w:rsidP="007F2CFF">
            <w:pPr>
              <w:jc w:val="right"/>
              <w:rPr>
                <w:rFonts w:ascii="Arial" w:hAnsi="Arial" w:cs="Arial"/>
                <w:sz w:val="16"/>
                <w:szCs w:val="16"/>
                <w:lang w:eastAsia="en-NZ"/>
              </w:rPr>
            </w:pPr>
            <w:r>
              <w:rPr>
                <w:rFonts w:ascii="Arial" w:hAnsi="Arial" w:cs="Arial"/>
                <w:sz w:val="16"/>
                <w:szCs w:val="16"/>
              </w:rPr>
              <w:t>0.0095</w:t>
            </w:r>
          </w:p>
        </w:tc>
        <w:tc>
          <w:tcPr>
            <w:tcW w:w="1565" w:type="dxa"/>
            <w:tcBorders>
              <w:top w:val="nil"/>
              <w:left w:val="nil"/>
              <w:bottom w:val="single" w:sz="8" w:space="0" w:color="auto"/>
              <w:right w:val="single" w:sz="8" w:space="0" w:color="auto"/>
            </w:tcBorders>
            <w:shd w:val="clear" w:color="auto" w:fill="auto"/>
            <w:noWrap/>
            <w:vAlign w:val="bottom"/>
            <w:hideMark/>
          </w:tcPr>
          <w:p w:rsidR="00A73E9E" w:rsidRPr="0095167C" w:rsidRDefault="00A73E9E" w:rsidP="007F2CFF">
            <w:pPr>
              <w:jc w:val="right"/>
              <w:rPr>
                <w:rFonts w:ascii="Arial" w:hAnsi="Arial" w:cs="Arial"/>
                <w:sz w:val="16"/>
                <w:szCs w:val="16"/>
                <w:lang w:eastAsia="en-NZ"/>
              </w:rPr>
            </w:pPr>
            <w:r w:rsidRPr="00A56619">
              <w:rPr>
                <w:rFonts w:ascii="Arial" w:hAnsi="Arial" w:cs="Arial"/>
                <w:sz w:val="16"/>
                <w:szCs w:val="16"/>
              </w:rPr>
              <w:t>0.00143</w:t>
            </w:r>
          </w:p>
        </w:tc>
      </w:tr>
      <w:tr w:rsidR="00B514B3" w:rsidRPr="0095167C" w:rsidTr="00680FA7">
        <w:trPr>
          <w:cantSplit/>
          <w:trHeight w:val="276"/>
        </w:trPr>
        <w:tc>
          <w:tcPr>
            <w:tcW w:w="1479" w:type="dxa"/>
            <w:tcBorders>
              <w:top w:val="nil"/>
              <w:left w:val="single" w:sz="8" w:space="0" w:color="auto"/>
              <w:bottom w:val="single" w:sz="8" w:space="0" w:color="auto"/>
              <w:right w:val="single" w:sz="8" w:space="0" w:color="auto"/>
            </w:tcBorders>
            <w:shd w:val="clear" w:color="auto" w:fill="auto"/>
            <w:noWrap/>
            <w:hideMark/>
          </w:tcPr>
          <w:p w:rsidR="00A73E9E" w:rsidRPr="0095167C" w:rsidRDefault="00A73E9E" w:rsidP="008A7D76">
            <w:pPr>
              <w:jc w:val="left"/>
              <w:rPr>
                <w:rFonts w:ascii="Arial" w:hAnsi="Arial" w:cs="Arial"/>
                <w:sz w:val="16"/>
                <w:szCs w:val="16"/>
                <w:lang w:eastAsia="en-NZ"/>
              </w:rPr>
            </w:pPr>
            <w:r w:rsidRPr="0095167C">
              <w:rPr>
                <w:rFonts w:ascii="Arial" w:hAnsi="Arial" w:cs="Arial"/>
                <w:sz w:val="16"/>
                <w:szCs w:val="16"/>
                <w:lang w:eastAsia="en-NZ"/>
              </w:rPr>
              <w:t>Coal – sub-bituminous</w:t>
            </w:r>
          </w:p>
        </w:tc>
        <w:tc>
          <w:tcPr>
            <w:tcW w:w="1061" w:type="dxa"/>
            <w:tcBorders>
              <w:top w:val="nil"/>
              <w:left w:val="nil"/>
              <w:bottom w:val="single" w:sz="8" w:space="0" w:color="auto"/>
              <w:right w:val="single" w:sz="8" w:space="0" w:color="auto"/>
            </w:tcBorders>
            <w:shd w:val="clear" w:color="auto" w:fill="auto"/>
            <w:noWrap/>
            <w:hideMark/>
          </w:tcPr>
          <w:p w:rsidR="00A73E9E" w:rsidRPr="0095167C" w:rsidRDefault="00A73E9E" w:rsidP="008A7D76">
            <w:pPr>
              <w:jc w:val="left"/>
              <w:rPr>
                <w:rFonts w:ascii="Arial" w:hAnsi="Arial" w:cs="Arial"/>
                <w:sz w:val="16"/>
                <w:szCs w:val="16"/>
                <w:lang w:eastAsia="en-NZ"/>
              </w:rPr>
            </w:pPr>
            <w:r w:rsidRPr="0095167C">
              <w:rPr>
                <w:rFonts w:ascii="Arial" w:hAnsi="Arial" w:cs="Arial"/>
                <w:sz w:val="16"/>
                <w:szCs w:val="16"/>
                <w:lang w:eastAsia="en-NZ"/>
              </w:rPr>
              <w:t>Commercial</w:t>
            </w:r>
          </w:p>
        </w:tc>
        <w:tc>
          <w:tcPr>
            <w:tcW w:w="560" w:type="dxa"/>
            <w:tcBorders>
              <w:top w:val="nil"/>
              <w:left w:val="nil"/>
              <w:bottom w:val="single" w:sz="8" w:space="0" w:color="auto"/>
              <w:right w:val="single" w:sz="8" w:space="0" w:color="auto"/>
            </w:tcBorders>
            <w:shd w:val="clear" w:color="auto" w:fill="auto"/>
            <w:noWrap/>
            <w:hideMark/>
          </w:tcPr>
          <w:p w:rsidR="00A73E9E" w:rsidRPr="0095167C" w:rsidRDefault="00A73E9E" w:rsidP="008A7D76">
            <w:pPr>
              <w:jc w:val="left"/>
              <w:rPr>
                <w:rFonts w:ascii="Arial" w:hAnsi="Arial" w:cs="Arial"/>
                <w:sz w:val="16"/>
                <w:szCs w:val="16"/>
                <w:lang w:eastAsia="en-NZ"/>
              </w:rPr>
            </w:pPr>
            <w:r w:rsidRPr="0095167C">
              <w:rPr>
                <w:rFonts w:ascii="Arial" w:hAnsi="Arial" w:cs="Arial"/>
                <w:sz w:val="16"/>
                <w:szCs w:val="16"/>
                <w:lang w:eastAsia="en-NZ"/>
              </w:rPr>
              <w:t>Kg</w:t>
            </w:r>
          </w:p>
        </w:tc>
        <w:tc>
          <w:tcPr>
            <w:tcW w:w="1021" w:type="dxa"/>
            <w:tcBorders>
              <w:top w:val="nil"/>
              <w:left w:val="nil"/>
              <w:bottom w:val="single" w:sz="8" w:space="0" w:color="auto"/>
              <w:right w:val="single" w:sz="8" w:space="0" w:color="auto"/>
            </w:tcBorders>
            <w:shd w:val="clear" w:color="auto" w:fill="auto"/>
            <w:noWrap/>
            <w:vAlign w:val="bottom"/>
            <w:hideMark/>
          </w:tcPr>
          <w:p w:rsidR="00A73E9E" w:rsidRPr="0095167C" w:rsidRDefault="00A73E9E" w:rsidP="008A7D76">
            <w:pPr>
              <w:jc w:val="center"/>
              <w:rPr>
                <w:rFonts w:ascii="Arial" w:hAnsi="Arial" w:cs="Arial"/>
                <w:sz w:val="16"/>
                <w:szCs w:val="16"/>
                <w:lang w:eastAsia="en-NZ"/>
              </w:rPr>
            </w:pPr>
            <w:r w:rsidRPr="00A56619">
              <w:rPr>
                <w:rFonts w:ascii="Arial" w:hAnsi="Arial" w:cs="Arial"/>
                <w:sz w:val="16"/>
                <w:szCs w:val="16"/>
              </w:rPr>
              <w:t>21.59</w:t>
            </w:r>
          </w:p>
        </w:tc>
        <w:tc>
          <w:tcPr>
            <w:tcW w:w="1469" w:type="dxa"/>
            <w:tcBorders>
              <w:top w:val="nil"/>
              <w:left w:val="nil"/>
              <w:bottom w:val="single" w:sz="8" w:space="0" w:color="auto"/>
              <w:right w:val="single" w:sz="8" w:space="0" w:color="auto"/>
            </w:tcBorders>
            <w:shd w:val="clear" w:color="auto" w:fill="auto"/>
            <w:noWrap/>
            <w:vAlign w:val="bottom"/>
            <w:hideMark/>
          </w:tcPr>
          <w:p w:rsidR="00A73E9E" w:rsidRPr="0095167C" w:rsidRDefault="00A73E9E" w:rsidP="005667C2">
            <w:pPr>
              <w:jc w:val="right"/>
              <w:rPr>
                <w:rFonts w:ascii="Arial" w:hAnsi="Arial" w:cs="Arial"/>
                <w:sz w:val="16"/>
                <w:szCs w:val="16"/>
                <w:lang w:eastAsia="en-NZ"/>
              </w:rPr>
            </w:pPr>
            <w:r w:rsidRPr="00A56619">
              <w:rPr>
                <w:rFonts w:ascii="Arial" w:hAnsi="Arial" w:cs="Arial"/>
                <w:sz w:val="16"/>
                <w:szCs w:val="16"/>
              </w:rPr>
              <w:t>91.99</w:t>
            </w:r>
          </w:p>
        </w:tc>
        <w:tc>
          <w:tcPr>
            <w:tcW w:w="1467" w:type="dxa"/>
            <w:tcBorders>
              <w:top w:val="nil"/>
              <w:left w:val="nil"/>
              <w:bottom w:val="single" w:sz="8" w:space="0" w:color="auto"/>
              <w:right w:val="single" w:sz="8" w:space="0" w:color="auto"/>
            </w:tcBorders>
            <w:shd w:val="clear" w:color="auto" w:fill="auto"/>
            <w:noWrap/>
            <w:vAlign w:val="bottom"/>
            <w:hideMark/>
          </w:tcPr>
          <w:p w:rsidR="00A73E9E" w:rsidRPr="0095167C" w:rsidRDefault="004A548B" w:rsidP="007F2CFF">
            <w:pPr>
              <w:jc w:val="right"/>
              <w:rPr>
                <w:rFonts w:ascii="Arial" w:hAnsi="Arial" w:cs="Arial"/>
                <w:sz w:val="16"/>
                <w:szCs w:val="16"/>
                <w:lang w:eastAsia="en-NZ"/>
              </w:rPr>
            </w:pPr>
            <w:r>
              <w:rPr>
                <w:rFonts w:ascii="Arial" w:hAnsi="Arial" w:cs="Arial"/>
                <w:sz w:val="16"/>
                <w:szCs w:val="16"/>
              </w:rPr>
              <w:t>0.0095</w:t>
            </w:r>
          </w:p>
        </w:tc>
        <w:tc>
          <w:tcPr>
            <w:tcW w:w="1565" w:type="dxa"/>
            <w:tcBorders>
              <w:top w:val="nil"/>
              <w:left w:val="nil"/>
              <w:bottom w:val="single" w:sz="8" w:space="0" w:color="auto"/>
              <w:right w:val="single" w:sz="8" w:space="0" w:color="auto"/>
            </w:tcBorders>
            <w:shd w:val="clear" w:color="auto" w:fill="auto"/>
            <w:noWrap/>
            <w:vAlign w:val="bottom"/>
            <w:hideMark/>
          </w:tcPr>
          <w:p w:rsidR="00A73E9E" w:rsidRPr="0095167C" w:rsidRDefault="00A73E9E" w:rsidP="007F2CFF">
            <w:pPr>
              <w:jc w:val="right"/>
              <w:rPr>
                <w:rFonts w:ascii="Arial" w:hAnsi="Arial" w:cs="Arial"/>
                <w:sz w:val="16"/>
                <w:szCs w:val="16"/>
                <w:lang w:eastAsia="en-NZ"/>
              </w:rPr>
            </w:pPr>
            <w:r w:rsidRPr="00A56619">
              <w:rPr>
                <w:rFonts w:ascii="Arial" w:hAnsi="Arial" w:cs="Arial"/>
                <w:sz w:val="16"/>
                <w:szCs w:val="16"/>
              </w:rPr>
              <w:t>0.00143</w:t>
            </w:r>
          </w:p>
        </w:tc>
      </w:tr>
      <w:tr w:rsidR="00B514B3" w:rsidRPr="0095167C" w:rsidTr="00680FA7">
        <w:trPr>
          <w:cantSplit/>
          <w:trHeight w:val="276"/>
        </w:trPr>
        <w:tc>
          <w:tcPr>
            <w:tcW w:w="1479" w:type="dxa"/>
            <w:tcBorders>
              <w:top w:val="nil"/>
              <w:left w:val="single" w:sz="8" w:space="0" w:color="auto"/>
              <w:bottom w:val="single" w:sz="8" w:space="0" w:color="auto"/>
              <w:right w:val="single" w:sz="8" w:space="0" w:color="auto"/>
            </w:tcBorders>
            <w:shd w:val="clear" w:color="auto" w:fill="auto"/>
            <w:noWrap/>
            <w:hideMark/>
          </w:tcPr>
          <w:p w:rsidR="00A73E9E" w:rsidRPr="0095167C" w:rsidRDefault="00A73E9E" w:rsidP="008A7D76">
            <w:pPr>
              <w:jc w:val="left"/>
              <w:rPr>
                <w:rFonts w:ascii="Arial" w:hAnsi="Arial" w:cs="Arial"/>
                <w:sz w:val="16"/>
                <w:szCs w:val="16"/>
                <w:lang w:eastAsia="en-NZ"/>
              </w:rPr>
            </w:pPr>
            <w:r w:rsidRPr="0095167C">
              <w:rPr>
                <w:rFonts w:ascii="Arial" w:hAnsi="Arial" w:cs="Arial"/>
                <w:sz w:val="16"/>
                <w:szCs w:val="16"/>
                <w:lang w:eastAsia="en-NZ"/>
              </w:rPr>
              <w:t>Coal – lignite</w:t>
            </w:r>
          </w:p>
        </w:tc>
        <w:tc>
          <w:tcPr>
            <w:tcW w:w="1061" w:type="dxa"/>
            <w:tcBorders>
              <w:top w:val="nil"/>
              <w:left w:val="nil"/>
              <w:bottom w:val="single" w:sz="8" w:space="0" w:color="auto"/>
              <w:right w:val="single" w:sz="8" w:space="0" w:color="auto"/>
            </w:tcBorders>
            <w:shd w:val="clear" w:color="auto" w:fill="auto"/>
            <w:noWrap/>
            <w:hideMark/>
          </w:tcPr>
          <w:p w:rsidR="00A73E9E" w:rsidRPr="0095167C" w:rsidRDefault="00A73E9E" w:rsidP="008A7D76">
            <w:pPr>
              <w:jc w:val="left"/>
              <w:rPr>
                <w:rFonts w:ascii="Arial" w:hAnsi="Arial" w:cs="Arial"/>
                <w:sz w:val="16"/>
                <w:szCs w:val="16"/>
                <w:lang w:eastAsia="en-NZ"/>
              </w:rPr>
            </w:pPr>
            <w:r w:rsidRPr="0095167C">
              <w:rPr>
                <w:rFonts w:ascii="Arial" w:hAnsi="Arial" w:cs="Arial"/>
                <w:sz w:val="16"/>
                <w:szCs w:val="16"/>
                <w:lang w:eastAsia="en-NZ"/>
              </w:rPr>
              <w:t>Commercial</w:t>
            </w:r>
          </w:p>
        </w:tc>
        <w:tc>
          <w:tcPr>
            <w:tcW w:w="560" w:type="dxa"/>
            <w:tcBorders>
              <w:top w:val="nil"/>
              <w:left w:val="nil"/>
              <w:bottom w:val="single" w:sz="8" w:space="0" w:color="auto"/>
              <w:right w:val="single" w:sz="8" w:space="0" w:color="auto"/>
            </w:tcBorders>
            <w:shd w:val="clear" w:color="auto" w:fill="auto"/>
            <w:noWrap/>
            <w:hideMark/>
          </w:tcPr>
          <w:p w:rsidR="00A73E9E" w:rsidRPr="0095167C" w:rsidRDefault="00A73E9E" w:rsidP="008A7D76">
            <w:pPr>
              <w:jc w:val="left"/>
              <w:rPr>
                <w:rFonts w:ascii="Arial" w:hAnsi="Arial" w:cs="Arial"/>
                <w:sz w:val="16"/>
                <w:szCs w:val="16"/>
                <w:lang w:eastAsia="en-NZ"/>
              </w:rPr>
            </w:pPr>
            <w:r w:rsidRPr="0095167C">
              <w:rPr>
                <w:rFonts w:ascii="Arial" w:hAnsi="Arial" w:cs="Arial"/>
                <w:sz w:val="16"/>
                <w:szCs w:val="16"/>
                <w:lang w:eastAsia="en-NZ"/>
              </w:rPr>
              <w:t>Kg</w:t>
            </w:r>
          </w:p>
        </w:tc>
        <w:tc>
          <w:tcPr>
            <w:tcW w:w="1021" w:type="dxa"/>
            <w:tcBorders>
              <w:top w:val="nil"/>
              <w:left w:val="nil"/>
              <w:bottom w:val="single" w:sz="8" w:space="0" w:color="auto"/>
              <w:right w:val="single" w:sz="8" w:space="0" w:color="auto"/>
            </w:tcBorders>
            <w:shd w:val="clear" w:color="auto" w:fill="auto"/>
            <w:noWrap/>
            <w:vAlign w:val="bottom"/>
            <w:hideMark/>
          </w:tcPr>
          <w:p w:rsidR="00A73E9E" w:rsidRPr="0095167C" w:rsidRDefault="00A73E9E" w:rsidP="008A7D76">
            <w:pPr>
              <w:jc w:val="center"/>
              <w:rPr>
                <w:rFonts w:ascii="Arial" w:hAnsi="Arial" w:cs="Arial"/>
                <w:sz w:val="16"/>
                <w:szCs w:val="16"/>
                <w:lang w:eastAsia="en-NZ"/>
              </w:rPr>
            </w:pPr>
            <w:r w:rsidRPr="00A56619">
              <w:rPr>
                <w:rFonts w:ascii="Arial" w:hAnsi="Arial" w:cs="Arial"/>
                <w:sz w:val="16"/>
                <w:szCs w:val="16"/>
              </w:rPr>
              <w:t>15.27</w:t>
            </w:r>
          </w:p>
        </w:tc>
        <w:tc>
          <w:tcPr>
            <w:tcW w:w="1469" w:type="dxa"/>
            <w:tcBorders>
              <w:top w:val="nil"/>
              <w:left w:val="nil"/>
              <w:bottom w:val="single" w:sz="8" w:space="0" w:color="auto"/>
              <w:right w:val="single" w:sz="8" w:space="0" w:color="auto"/>
            </w:tcBorders>
            <w:shd w:val="clear" w:color="auto" w:fill="auto"/>
            <w:noWrap/>
            <w:vAlign w:val="bottom"/>
            <w:hideMark/>
          </w:tcPr>
          <w:p w:rsidR="00A73E9E" w:rsidRPr="0095167C" w:rsidRDefault="00A73E9E" w:rsidP="005667C2">
            <w:pPr>
              <w:jc w:val="right"/>
              <w:rPr>
                <w:rFonts w:ascii="Arial" w:hAnsi="Arial" w:cs="Arial"/>
                <w:sz w:val="16"/>
                <w:szCs w:val="16"/>
                <w:lang w:eastAsia="en-NZ"/>
              </w:rPr>
            </w:pPr>
            <w:r w:rsidRPr="00A56619">
              <w:rPr>
                <w:rFonts w:ascii="Arial" w:hAnsi="Arial" w:cs="Arial"/>
                <w:sz w:val="16"/>
                <w:szCs w:val="16"/>
              </w:rPr>
              <w:t>93.11</w:t>
            </w:r>
          </w:p>
        </w:tc>
        <w:tc>
          <w:tcPr>
            <w:tcW w:w="1467" w:type="dxa"/>
            <w:tcBorders>
              <w:top w:val="nil"/>
              <w:left w:val="nil"/>
              <w:bottom w:val="single" w:sz="8" w:space="0" w:color="auto"/>
              <w:right w:val="single" w:sz="8" w:space="0" w:color="auto"/>
            </w:tcBorders>
            <w:shd w:val="clear" w:color="auto" w:fill="auto"/>
            <w:noWrap/>
            <w:vAlign w:val="bottom"/>
            <w:hideMark/>
          </w:tcPr>
          <w:p w:rsidR="00A73E9E" w:rsidRPr="0095167C" w:rsidRDefault="004A548B" w:rsidP="007F2CFF">
            <w:pPr>
              <w:jc w:val="right"/>
              <w:rPr>
                <w:rFonts w:ascii="Arial" w:hAnsi="Arial" w:cs="Arial"/>
                <w:sz w:val="16"/>
                <w:szCs w:val="16"/>
                <w:lang w:eastAsia="en-NZ"/>
              </w:rPr>
            </w:pPr>
            <w:r>
              <w:rPr>
                <w:rFonts w:ascii="Arial" w:hAnsi="Arial" w:cs="Arial"/>
                <w:sz w:val="16"/>
                <w:szCs w:val="16"/>
              </w:rPr>
              <w:t>0.0095</w:t>
            </w:r>
          </w:p>
        </w:tc>
        <w:tc>
          <w:tcPr>
            <w:tcW w:w="1565" w:type="dxa"/>
            <w:tcBorders>
              <w:top w:val="nil"/>
              <w:left w:val="nil"/>
              <w:bottom w:val="single" w:sz="8" w:space="0" w:color="auto"/>
              <w:right w:val="single" w:sz="8" w:space="0" w:color="auto"/>
            </w:tcBorders>
            <w:shd w:val="clear" w:color="auto" w:fill="auto"/>
            <w:noWrap/>
            <w:vAlign w:val="bottom"/>
            <w:hideMark/>
          </w:tcPr>
          <w:p w:rsidR="00A73E9E" w:rsidRPr="0095167C" w:rsidRDefault="00A73E9E" w:rsidP="007F2CFF">
            <w:pPr>
              <w:jc w:val="right"/>
              <w:rPr>
                <w:rFonts w:ascii="Arial" w:hAnsi="Arial" w:cs="Arial"/>
                <w:sz w:val="16"/>
                <w:szCs w:val="16"/>
                <w:lang w:eastAsia="en-NZ"/>
              </w:rPr>
            </w:pPr>
            <w:r w:rsidRPr="00A56619">
              <w:rPr>
                <w:rFonts w:ascii="Arial" w:hAnsi="Arial" w:cs="Arial"/>
                <w:sz w:val="16"/>
                <w:szCs w:val="16"/>
              </w:rPr>
              <w:t>0.00143</w:t>
            </w:r>
          </w:p>
        </w:tc>
      </w:tr>
      <w:tr w:rsidR="00B514B3" w:rsidRPr="0095167C" w:rsidTr="00680FA7">
        <w:trPr>
          <w:cantSplit/>
          <w:trHeight w:val="276"/>
        </w:trPr>
        <w:tc>
          <w:tcPr>
            <w:tcW w:w="1479" w:type="dxa"/>
            <w:tcBorders>
              <w:top w:val="nil"/>
              <w:left w:val="single" w:sz="8" w:space="0" w:color="auto"/>
              <w:bottom w:val="single" w:sz="8" w:space="0" w:color="auto"/>
              <w:right w:val="single" w:sz="8" w:space="0" w:color="auto"/>
            </w:tcBorders>
            <w:shd w:val="clear" w:color="auto" w:fill="auto"/>
            <w:noWrap/>
            <w:hideMark/>
          </w:tcPr>
          <w:p w:rsidR="00A73E9E" w:rsidRPr="0095167C" w:rsidRDefault="00A73E9E" w:rsidP="008A7D76">
            <w:pPr>
              <w:jc w:val="left"/>
              <w:rPr>
                <w:rFonts w:ascii="Arial" w:hAnsi="Arial" w:cs="Arial"/>
                <w:sz w:val="16"/>
                <w:szCs w:val="16"/>
                <w:lang w:eastAsia="en-NZ"/>
              </w:rPr>
            </w:pPr>
            <w:r w:rsidRPr="0095167C">
              <w:rPr>
                <w:rFonts w:ascii="Arial" w:hAnsi="Arial" w:cs="Arial"/>
                <w:sz w:val="16"/>
                <w:szCs w:val="16"/>
                <w:lang w:eastAsia="en-NZ"/>
              </w:rPr>
              <w:t>Diesel</w:t>
            </w:r>
          </w:p>
        </w:tc>
        <w:tc>
          <w:tcPr>
            <w:tcW w:w="1061" w:type="dxa"/>
            <w:tcBorders>
              <w:top w:val="nil"/>
              <w:left w:val="nil"/>
              <w:bottom w:val="single" w:sz="8" w:space="0" w:color="auto"/>
              <w:right w:val="single" w:sz="8" w:space="0" w:color="auto"/>
            </w:tcBorders>
            <w:shd w:val="clear" w:color="auto" w:fill="auto"/>
            <w:noWrap/>
            <w:hideMark/>
          </w:tcPr>
          <w:p w:rsidR="00A73E9E" w:rsidRPr="0095167C" w:rsidRDefault="00A73E9E" w:rsidP="008A7D76">
            <w:pPr>
              <w:jc w:val="left"/>
              <w:rPr>
                <w:rFonts w:ascii="Arial" w:hAnsi="Arial" w:cs="Arial"/>
                <w:sz w:val="16"/>
                <w:szCs w:val="16"/>
                <w:lang w:eastAsia="en-NZ"/>
              </w:rPr>
            </w:pPr>
            <w:r w:rsidRPr="0095167C">
              <w:rPr>
                <w:rFonts w:ascii="Arial" w:hAnsi="Arial" w:cs="Arial"/>
                <w:sz w:val="16"/>
                <w:szCs w:val="16"/>
                <w:lang w:eastAsia="en-NZ"/>
              </w:rPr>
              <w:t>Commercial</w:t>
            </w:r>
          </w:p>
        </w:tc>
        <w:tc>
          <w:tcPr>
            <w:tcW w:w="560" w:type="dxa"/>
            <w:tcBorders>
              <w:top w:val="nil"/>
              <w:left w:val="nil"/>
              <w:bottom w:val="single" w:sz="8" w:space="0" w:color="auto"/>
              <w:right w:val="single" w:sz="8" w:space="0" w:color="auto"/>
            </w:tcBorders>
            <w:shd w:val="clear" w:color="auto" w:fill="auto"/>
            <w:noWrap/>
            <w:hideMark/>
          </w:tcPr>
          <w:p w:rsidR="00A73E9E" w:rsidRPr="0095167C" w:rsidRDefault="00A73E9E" w:rsidP="008A7D76">
            <w:pPr>
              <w:jc w:val="left"/>
              <w:rPr>
                <w:rFonts w:ascii="Arial" w:hAnsi="Arial" w:cs="Arial"/>
                <w:sz w:val="16"/>
                <w:szCs w:val="16"/>
                <w:lang w:eastAsia="en-NZ"/>
              </w:rPr>
            </w:pPr>
            <w:r w:rsidRPr="0095167C">
              <w:rPr>
                <w:rFonts w:ascii="Arial" w:hAnsi="Arial" w:cs="Arial"/>
                <w:sz w:val="16"/>
                <w:szCs w:val="16"/>
                <w:lang w:eastAsia="en-NZ"/>
              </w:rPr>
              <w:t>Litre</w:t>
            </w:r>
          </w:p>
        </w:tc>
        <w:tc>
          <w:tcPr>
            <w:tcW w:w="1021" w:type="dxa"/>
            <w:tcBorders>
              <w:top w:val="nil"/>
              <w:left w:val="nil"/>
              <w:bottom w:val="single" w:sz="8" w:space="0" w:color="auto"/>
              <w:right w:val="single" w:sz="8" w:space="0" w:color="auto"/>
            </w:tcBorders>
            <w:shd w:val="clear" w:color="auto" w:fill="auto"/>
            <w:noWrap/>
            <w:vAlign w:val="bottom"/>
            <w:hideMark/>
          </w:tcPr>
          <w:p w:rsidR="00A73E9E" w:rsidRPr="0095167C" w:rsidRDefault="00A73E9E" w:rsidP="005667C2">
            <w:pPr>
              <w:jc w:val="center"/>
              <w:rPr>
                <w:rFonts w:ascii="Arial" w:hAnsi="Arial" w:cs="Arial"/>
                <w:sz w:val="16"/>
                <w:szCs w:val="16"/>
                <w:lang w:eastAsia="en-NZ"/>
              </w:rPr>
            </w:pPr>
            <w:r w:rsidRPr="00A56619">
              <w:rPr>
                <w:rFonts w:ascii="Arial" w:hAnsi="Arial" w:cs="Arial"/>
                <w:sz w:val="16"/>
                <w:szCs w:val="16"/>
              </w:rPr>
              <w:t>38.40</w:t>
            </w:r>
          </w:p>
        </w:tc>
        <w:tc>
          <w:tcPr>
            <w:tcW w:w="1469" w:type="dxa"/>
            <w:tcBorders>
              <w:top w:val="nil"/>
              <w:left w:val="nil"/>
              <w:bottom w:val="single" w:sz="8" w:space="0" w:color="auto"/>
              <w:right w:val="single" w:sz="8" w:space="0" w:color="auto"/>
            </w:tcBorders>
            <w:shd w:val="clear" w:color="auto" w:fill="auto"/>
            <w:noWrap/>
            <w:vAlign w:val="bottom"/>
            <w:hideMark/>
          </w:tcPr>
          <w:p w:rsidR="00A73E9E" w:rsidRPr="0095167C" w:rsidRDefault="00A73E9E" w:rsidP="005667C2">
            <w:pPr>
              <w:jc w:val="right"/>
              <w:rPr>
                <w:rFonts w:ascii="Arial" w:hAnsi="Arial" w:cs="Arial"/>
                <w:sz w:val="16"/>
                <w:szCs w:val="16"/>
                <w:lang w:eastAsia="en-NZ"/>
              </w:rPr>
            </w:pPr>
            <w:r w:rsidRPr="00A56619">
              <w:rPr>
                <w:rFonts w:ascii="Arial" w:hAnsi="Arial" w:cs="Arial"/>
                <w:sz w:val="16"/>
                <w:szCs w:val="16"/>
              </w:rPr>
              <w:t>69.58</w:t>
            </w:r>
          </w:p>
        </w:tc>
        <w:tc>
          <w:tcPr>
            <w:tcW w:w="1467" w:type="dxa"/>
            <w:tcBorders>
              <w:top w:val="nil"/>
              <w:left w:val="nil"/>
              <w:bottom w:val="single" w:sz="8" w:space="0" w:color="auto"/>
              <w:right w:val="single" w:sz="8" w:space="0" w:color="auto"/>
            </w:tcBorders>
            <w:shd w:val="clear" w:color="auto" w:fill="auto"/>
            <w:noWrap/>
            <w:vAlign w:val="bottom"/>
            <w:hideMark/>
          </w:tcPr>
          <w:p w:rsidR="00A73E9E" w:rsidRPr="0095167C" w:rsidRDefault="004A548B" w:rsidP="007F2CFF">
            <w:pPr>
              <w:jc w:val="right"/>
              <w:rPr>
                <w:rFonts w:ascii="Arial" w:hAnsi="Arial" w:cs="Arial"/>
                <w:sz w:val="16"/>
                <w:szCs w:val="16"/>
                <w:lang w:eastAsia="en-NZ"/>
              </w:rPr>
            </w:pPr>
            <w:r>
              <w:rPr>
                <w:rFonts w:ascii="Arial" w:hAnsi="Arial" w:cs="Arial"/>
                <w:sz w:val="16"/>
                <w:szCs w:val="16"/>
              </w:rPr>
              <w:t>0.0095</w:t>
            </w:r>
          </w:p>
        </w:tc>
        <w:tc>
          <w:tcPr>
            <w:tcW w:w="1565" w:type="dxa"/>
            <w:tcBorders>
              <w:top w:val="nil"/>
              <w:left w:val="nil"/>
              <w:bottom w:val="single" w:sz="8" w:space="0" w:color="auto"/>
              <w:right w:val="single" w:sz="8" w:space="0" w:color="auto"/>
            </w:tcBorders>
            <w:shd w:val="clear" w:color="auto" w:fill="auto"/>
            <w:noWrap/>
            <w:vAlign w:val="bottom"/>
            <w:hideMark/>
          </w:tcPr>
          <w:p w:rsidR="00A73E9E" w:rsidRPr="0095167C" w:rsidRDefault="004A548B" w:rsidP="007F2CFF">
            <w:pPr>
              <w:jc w:val="right"/>
              <w:rPr>
                <w:rFonts w:ascii="Arial" w:hAnsi="Arial" w:cs="Arial"/>
                <w:sz w:val="16"/>
                <w:szCs w:val="16"/>
                <w:lang w:eastAsia="en-NZ"/>
              </w:rPr>
            </w:pPr>
            <w:r>
              <w:rPr>
                <w:rFonts w:ascii="Arial" w:hAnsi="Arial" w:cs="Arial"/>
                <w:sz w:val="16"/>
                <w:szCs w:val="16"/>
              </w:rPr>
              <w:t>0.00057</w:t>
            </w:r>
          </w:p>
        </w:tc>
      </w:tr>
      <w:tr w:rsidR="00B514B3" w:rsidRPr="0095167C" w:rsidTr="00680FA7">
        <w:trPr>
          <w:cantSplit/>
          <w:trHeight w:val="276"/>
        </w:trPr>
        <w:tc>
          <w:tcPr>
            <w:tcW w:w="1479" w:type="dxa"/>
            <w:tcBorders>
              <w:top w:val="nil"/>
              <w:left w:val="single" w:sz="8" w:space="0" w:color="auto"/>
              <w:bottom w:val="single" w:sz="8" w:space="0" w:color="auto"/>
              <w:right w:val="single" w:sz="8" w:space="0" w:color="auto"/>
            </w:tcBorders>
            <w:shd w:val="clear" w:color="auto" w:fill="auto"/>
            <w:noWrap/>
            <w:hideMark/>
          </w:tcPr>
          <w:p w:rsidR="00A73E9E" w:rsidRPr="0095167C" w:rsidRDefault="00A73E9E" w:rsidP="008A7D76">
            <w:pPr>
              <w:jc w:val="left"/>
              <w:rPr>
                <w:rFonts w:ascii="Arial" w:hAnsi="Arial" w:cs="Arial"/>
                <w:sz w:val="16"/>
                <w:szCs w:val="16"/>
                <w:lang w:eastAsia="en-NZ"/>
              </w:rPr>
            </w:pPr>
            <w:r w:rsidRPr="0095167C">
              <w:rPr>
                <w:rFonts w:ascii="Arial" w:hAnsi="Arial" w:cs="Arial"/>
                <w:sz w:val="16"/>
                <w:szCs w:val="16"/>
                <w:lang w:eastAsia="en-NZ"/>
              </w:rPr>
              <w:t>LPG</w:t>
            </w:r>
          </w:p>
        </w:tc>
        <w:tc>
          <w:tcPr>
            <w:tcW w:w="1061" w:type="dxa"/>
            <w:tcBorders>
              <w:top w:val="nil"/>
              <w:left w:val="nil"/>
              <w:bottom w:val="single" w:sz="8" w:space="0" w:color="auto"/>
              <w:right w:val="single" w:sz="8" w:space="0" w:color="auto"/>
            </w:tcBorders>
            <w:shd w:val="clear" w:color="auto" w:fill="auto"/>
            <w:noWrap/>
            <w:hideMark/>
          </w:tcPr>
          <w:p w:rsidR="00A73E9E" w:rsidRPr="0095167C" w:rsidRDefault="00A73E9E" w:rsidP="008A7D76">
            <w:pPr>
              <w:jc w:val="left"/>
              <w:rPr>
                <w:rFonts w:ascii="Arial" w:hAnsi="Arial" w:cs="Arial"/>
                <w:sz w:val="16"/>
                <w:szCs w:val="16"/>
                <w:lang w:eastAsia="en-NZ"/>
              </w:rPr>
            </w:pPr>
            <w:r w:rsidRPr="0095167C">
              <w:rPr>
                <w:rFonts w:ascii="Arial" w:hAnsi="Arial" w:cs="Arial"/>
                <w:sz w:val="16"/>
                <w:szCs w:val="16"/>
                <w:lang w:eastAsia="en-NZ"/>
              </w:rPr>
              <w:t>Commercial</w:t>
            </w:r>
          </w:p>
        </w:tc>
        <w:tc>
          <w:tcPr>
            <w:tcW w:w="560" w:type="dxa"/>
            <w:tcBorders>
              <w:top w:val="nil"/>
              <w:left w:val="nil"/>
              <w:bottom w:val="single" w:sz="8" w:space="0" w:color="auto"/>
              <w:right w:val="single" w:sz="8" w:space="0" w:color="auto"/>
            </w:tcBorders>
            <w:shd w:val="clear" w:color="auto" w:fill="auto"/>
            <w:noWrap/>
            <w:hideMark/>
          </w:tcPr>
          <w:p w:rsidR="00A73E9E" w:rsidRPr="0095167C" w:rsidRDefault="00A73E9E" w:rsidP="008A7D76">
            <w:pPr>
              <w:jc w:val="left"/>
              <w:rPr>
                <w:rFonts w:ascii="Arial" w:hAnsi="Arial" w:cs="Arial"/>
                <w:sz w:val="16"/>
                <w:szCs w:val="16"/>
                <w:lang w:eastAsia="en-NZ"/>
              </w:rPr>
            </w:pPr>
            <w:r w:rsidRPr="0095167C">
              <w:rPr>
                <w:rFonts w:ascii="Arial" w:hAnsi="Arial" w:cs="Arial"/>
                <w:sz w:val="16"/>
                <w:szCs w:val="16"/>
                <w:lang w:eastAsia="en-NZ"/>
              </w:rPr>
              <w:t>Kg</w:t>
            </w:r>
          </w:p>
        </w:tc>
        <w:tc>
          <w:tcPr>
            <w:tcW w:w="1021" w:type="dxa"/>
            <w:tcBorders>
              <w:top w:val="nil"/>
              <w:left w:val="nil"/>
              <w:bottom w:val="single" w:sz="8" w:space="0" w:color="auto"/>
              <w:right w:val="single" w:sz="8" w:space="0" w:color="auto"/>
            </w:tcBorders>
            <w:shd w:val="clear" w:color="auto" w:fill="auto"/>
            <w:noWrap/>
            <w:vAlign w:val="bottom"/>
            <w:hideMark/>
          </w:tcPr>
          <w:p w:rsidR="00A73E9E" w:rsidRPr="0095167C" w:rsidRDefault="00A73E9E" w:rsidP="005667C2">
            <w:pPr>
              <w:jc w:val="center"/>
              <w:rPr>
                <w:rFonts w:ascii="Arial" w:hAnsi="Arial" w:cs="Arial"/>
                <w:sz w:val="16"/>
                <w:szCs w:val="16"/>
                <w:lang w:eastAsia="en-NZ"/>
              </w:rPr>
            </w:pPr>
            <w:r w:rsidRPr="00A56619">
              <w:rPr>
                <w:rFonts w:ascii="Arial" w:hAnsi="Arial" w:cs="Arial"/>
                <w:sz w:val="16"/>
                <w:szCs w:val="16"/>
              </w:rPr>
              <w:t>50.00</w:t>
            </w:r>
          </w:p>
        </w:tc>
        <w:tc>
          <w:tcPr>
            <w:tcW w:w="1469" w:type="dxa"/>
            <w:tcBorders>
              <w:top w:val="nil"/>
              <w:left w:val="nil"/>
              <w:bottom w:val="single" w:sz="8" w:space="0" w:color="auto"/>
              <w:right w:val="single" w:sz="8" w:space="0" w:color="auto"/>
            </w:tcBorders>
            <w:shd w:val="clear" w:color="auto" w:fill="auto"/>
            <w:noWrap/>
            <w:vAlign w:val="bottom"/>
            <w:hideMark/>
          </w:tcPr>
          <w:p w:rsidR="00A73E9E" w:rsidRPr="0095167C" w:rsidRDefault="00A73E9E" w:rsidP="007F2CFF">
            <w:pPr>
              <w:jc w:val="right"/>
              <w:rPr>
                <w:rFonts w:ascii="Arial" w:hAnsi="Arial" w:cs="Arial"/>
                <w:sz w:val="16"/>
                <w:szCs w:val="16"/>
                <w:lang w:eastAsia="en-NZ"/>
              </w:rPr>
            </w:pPr>
            <w:r w:rsidRPr="00A56619">
              <w:rPr>
                <w:rFonts w:ascii="Arial" w:hAnsi="Arial" w:cs="Arial"/>
                <w:sz w:val="16"/>
                <w:szCs w:val="16"/>
              </w:rPr>
              <w:t>60.43</w:t>
            </w:r>
          </w:p>
        </w:tc>
        <w:tc>
          <w:tcPr>
            <w:tcW w:w="1467" w:type="dxa"/>
            <w:tcBorders>
              <w:top w:val="nil"/>
              <w:left w:val="nil"/>
              <w:bottom w:val="single" w:sz="8" w:space="0" w:color="auto"/>
              <w:right w:val="single" w:sz="8" w:space="0" w:color="auto"/>
            </w:tcBorders>
            <w:shd w:val="clear" w:color="auto" w:fill="auto"/>
            <w:noWrap/>
            <w:vAlign w:val="bottom"/>
            <w:hideMark/>
          </w:tcPr>
          <w:p w:rsidR="00A73E9E" w:rsidRPr="0095167C" w:rsidRDefault="00A73E9E" w:rsidP="007F2CFF">
            <w:pPr>
              <w:jc w:val="right"/>
              <w:rPr>
                <w:rFonts w:ascii="Arial" w:hAnsi="Arial" w:cs="Arial"/>
                <w:sz w:val="16"/>
                <w:szCs w:val="16"/>
                <w:lang w:eastAsia="en-NZ"/>
              </w:rPr>
            </w:pPr>
            <w:r w:rsidRPr="00A56619">
              <w:rPr>
                <w:rFonts w:ascii="Arial" w:hAnsi="Arial" w:cs="Arial"/>
                <w:sz w:val="16"/>
                <w:szCs w:val="16"/>
              </w:rPr>
              <w:t>0.00475</w:t>
            </w:r>
          </w:p>
        </w:tc>
        <w:tc>
          <w:tcPr>
            <w:tcW w:w="1565" w:type="dxa"/>
            <w:tcBorders>
              <w:top w:val="nil"/>
              <w:left w:val="nil"/>
              <w:bottom w:val="single" w:sz="8" w:space="0" w:color="auto"/>
              <w:right w:val="single" w:sz="8" w:space="0" w:color="auto"/>
            </w:tcBorders>
            <w:shd w:val="clear" w:color="auto" w:fill="auto"/>
            <w:noWrap/>
            <w:vAlign w:val="bottom"/>
            <w:hideMark/>
          </w:tcPr>
          <w:p w:rsidR="00A73E9E" w:rsidRPr="0095167C" w:rsidRDefault="00A02CCD" w:rsidP="007F2CFF">
            <w:pPr>
              <w:jc w:val="right"/>
              <w:rPr>
                <w:rFonts w:ascii="Arial" w:hAnsi="Arial" w:cs="Arial"/>
                <w:sz w:val="16"/>
                <w:szCs w:val="16"/>
                <w:lang w:eastAsia="en-NZ"/>
              </w:rPr>
            </w:pPr>
            <w:r>
              <w:rPr>
                <w:rFonts w:ascii="Arial" w:hAnsi="Arial" w:cs="Arial"/>
                <w:sz w:val="16"/>
                <w:szCs w:val="16"/>
              </w:rPr>
              <w:t>0.000095</w:t>
            </w:r>
          </w:p>
        </w:tc>
      </w:tr>
      <w:tr w:rsidR="00B514B3" w:rsidRPr="0095167C" w:rsidTr="00680FA7">
        <w:trPr>
          <w:cantSplit/>
          <w:trHeight w:val="276"/>
        </w:trPr>
        <w:tc>
          <w:tcPr>
            <w:tcW w:w="1479" w:type="dxa"/>
            <w:tcBorders>
              <w:top w:val="nil"/>
              <w:left w:val="single" w:sz="8" w:space="0" w:color="auto"/>
              <w:bottom w:val="single" w:sz="8" w:space="0" w:color="auto"/>
              <w:right w:val="single" w:sz="8" w:space="0" w:color="auto"/>
            </w:tcBorders>
            <w:shd w:val="clear" w:color="auto" w:fill="auto"/>
            <w:noWrap/>
            <w:hideMark/>
          </w:tcPr>
          <w:p w:rsidR="00A73E9E" w:rsidRPr="0095167C" w:rsidRDefault="00A73E9E" w:rsidP="008A7D76">
            <w:pPr>
              <w:jc w:val="left"/>
              <w:rPr>
                <w:rFonts w:ascii="Arial" w:hAnsi="Arial" w:cs="Arial"/>
                <w:sz w:val="16"/>
                <w:szCs w:val="16"/>
                <w:lang w:eastAsia="en-NZ"/>
              </w:rPr>
            </w:pPr>
            <w:r w:rsidRPr="0095167C">
              <w:rPr>
                <w:rFonts w:ascii="Arial" w:hAnsi="Arial" w:cs="Arial"/>
                <w:sz w:val="16"/>
                <w:szCs w:val="16"/>
                <w:lang w:eastAsia="en-NZ"/>
              </w:rPr>
              <w:t>Heavy fuel oil</w:t>
            </w:r>
          </w:p>
        </w:tc>
        <w:tc>
          <w:tcPr>
            <w:tcW w:w="1061" w:type="dxa"/>
            <w:tcBorders>
              <w:top w:val="nil"/>
              <w:left w:val="nil"/>
              <w:bottom w:val="single" w:sz="8" w:space="0" w:color="auto"/>
              <w:right w:val="single" w:sz="8" w:space="0" w:color="auto"/>
            </w:tcBorders>
            <w:shd w:val="clear" w:color="auto" w:fill="auto"/>
            <w:noWrap/>
            <w:hideMark/>
          </w:tcPr>
          <w:p w:rsidR="00A73E9E" w:rsidRPr="0095167C" w:rsidRDefault="00A73E9E" w:rsidP="008A7D76">
            <w:pPr>
              <w:jc w:val="left"/>
              <w:rPr>
                <w:rFonts w:ascii="Arial" w:hAnsi="Arial" w:cs="Arial"/>
                <w:sz w:val="16"/>
                <w:szCs w:val="16"/>
                <w:lang w:eastAsia="en-NZ"/>
              </w:rPr>
            </w:pPr>
            <w:r w:rsidRPr="0095167C">
              <w:rPr>
                <w:rFonts w:ascii="Arial" w:hAnsi="Arial" w:cs="Arial"/>
                <w:sz w:val="16"/>
                <w:szCs w:val="16"/>
                <w:lang w:eastAsia="en-NZ"/>
              </w:rPr>
              <w:t>Commercial</w:t>
            </w:r>
          </w:p>
        </w:tc>
        <w:tc>
          <w:tcPr>
            <w:tcW w:w="560" w:type="dxa"/>
            <w:tcBorders>
              <w:top w:val="nil"/>
              <w:left w:val="nil"/>
              <w:bottom w:val="single" w:sz="8" w:space="0" w:color="auto"/>
              <w:right w:val="single" w:sz="8" w:space="0" w:color="auto"/>
            </w:tcBorders>
            <w:shd w:val="clear" w:color="auto" w:fill="auto"/>
            <w:noWrap/>
            <w:hideMark/>
          </w:tcPr>
          <w:p w:rsidR="00A73E9E" w:rsidRPr="0095167C" w:rsidRDefault="00A73E9E" w:rsidP="008A7D76">
            <w:pPr>
              <w:jc w:val="left"/>
              <w:rPr>
                <w:rFonts w:ascii="Arial" w:hAnsi="Arial" w:cs="Arial"/>
                <w:sz w:val="16"/>
                <w:szCs w:val="16"/>
                <w:lang w:eastAsia="en-NZ"/>
              </w:rPr>
            </w:pPr>
            <w:r w:rsidRPr="0095167C">
              <w:rPr>
                <w:rFonts w:ascii="Arial" w:hAnsi="Arial" w:cs="Arial"/>
                <w:sz w:val="16"/>
                <w:szCs w:val="16"/>
                <w:lang w:eastAsia="en-NZ"/>
              </w:rPr>
              <w:t>Litre</w:t>
            </w:r>
          </w:p>
        </w:tc>
        <w:tc>
          <w:tcPr>
            <w:tcW w:w="1021" w:type="dxa"/>
            <w:tcBorders>
              <w:top w:val="nil"/>
              <w:left w:val="nil"/>
              <w:bottom w:val="single" w:sz="8" w:space="0" w:color="auto"/>
              <w:right w:val="single" w:sz="8" w:space="0" w:color="auto"/>
            </w:tcBorders>
            <w:shd w:val="clear" w:color="auto" w:fill="auto"/>
            <w:noWrap/>
            <w:vAlign w:val="bottom"/>
            <w:hideMark/>
          </w:tcPr>
          <w:p w:rsidR="00A73E9E" w:rsidRPr="0095167C" w:rsidRDefault="00A73E9E" w:rsidP="008A7D76">
            <w:pPr>
              <w:jc w:val="center"/>
              <w:rPr>
                <w:rFonts w:ascii="Arial" w:hAnsi="Arial" w:cs="Arial"/>
                <w:sz w:val="16"/>
                <w:szCs w:val="16"/>
                <w:lang w:eastAsia="en-NZ"/>
              </w:rPr>
            </w:pPr>
            <w:r w:rsidRPr="00A56619">
              <w:rPr>
                <w:rFonts w:ascii="Arial" w:hAnsi="Arial" w:cs="Arial"/>
                <w:sz w:val="16"/>
                <w:szCs w:val="16"/>
              </w:rPr>
              <w:t>40.81</w:t>
            </w:r>
          </w:p>
        </w:tc>
        <w:tc>
          <w:tcPr>
            <w:tcW w:w="1469" w:type="dxa"/>
            <w:tcBorders>
              <w:top w:val="nil"/>
              <w:left w:val="nil"/>
              <w:bottom w:val="single" w:sz="8" w:space="0" w:color="auto"/>
              <w:right w:val="single" w:sz="8" w:space="0" w:color="auto"/>
            </w:tcBorders>
            <w:shd w:val="clear" w:color="auto" w:fill="auto"/>
            <w:noWrap/>
            <w:vAlign w:val="bottom"/>
            <w:hideMark/>
          </w:tcPr>
          <w:p w:rsidR="00A73E9E" w:rsidRPr="0095167C" w:rsidRDefault="00A73E9E" w:rsidP="005667C2">
            <w:pPr>
              <w:jc w:val="right"/>
              <w:rPr>
                <w:rFonts w:ascii="Arial" w:hAnsi="Arial" w:cs="Arial"/>
                <w:sz w:val="16"/>
                <w:szCs w:val="16"/>
                <w:lang w:eastAsia="en-NZ"/>
              </w:rPr>
            </w:pPr>
            <w:r w:rsidRPr="00A56619">
              <w:rPr>
                <w:rFonts w:ascii="Arial" w:hAnsi="Arial" w:cs="Arial"/>
                <w:sz w:val="16"/>
                <w:szCs w:val="16"/>
              </w:rPr>
              <w:t>73.72</w:t>
            </w:r>
          </w:p>
        </w:tc>
        <w:tc>
          <w:tcPr>
            <w:tcW w:w="1467" w:type="dxa"/>
            <w:tcBorders>
              <w:top w:val="nil"/>
              <w:left w:val="nil"/>
              <w:bottom w:val="single" w:sz="8" w:space="0" w:color="auto"/>
              <w:right w:val="single" w:sz="8" w:space="0" w:color="auto"/>
            </w:tcBorders>
            <w:shd w:val="clear" w:color="auto" w:fill="auto"/>
            <w:noWrap/>
            <w:vAlign w:val="bottom"/>
            <w:hideMark/>
          </w:tcPr>
          <w:p w:rsidR="00A73E9E" w:rsidRPr="0095167C" w:rsidRDefault="00A02CCD" w:rsidP="007F2CFF">
            <w:pPr>
              <w:jc w:val="right"/>
              <w:rPr>
                <w:rFonts w:ascii="Arial" w:hAnsi="Arial" w:cs="Arial"/>
                <w:sz w:val="16"/>
                <w:szCs w:val="16"/>
                <w:lang w:eastAsia="en-NZ"/>
              </w:rPr>
            </w:pPr>
            <w:r>
              <w:rPr>
                <w:rFonts w:ascii="Arial" w:hAnsi="Arial" w:cs="Arial"/>
                <w:sz w:val="16"/>
                <w:szCs w:val="16"/>
              </w:rPr>
              <w:t>0.0095</w:t>
            </w:r>
          </w:p>
        </w:tc>
        <w:tc>
          <w:tcPr>
            <w:tcW w:w="1565" w:type="dxa"/>
            <w:tcBorders>
              <w:top w:val="nil"/>
              <w:left w:val="nil"/>
              <w:bottom w:val="single" w:sz="8" w:space="0" w:color="auto"/>
              <w:right w:val="single" w:sz="8" w:space="0" w:color="auto"/>
            </w:tcBorders>
            <w:shd w:val="clear" w:color="auto" w:fill="auto"/>
            <w:noWrap/>
            <w:vAlign w:val="bottom"/>
            <w:hideMark/>
          </w:tcPr>
          <w:p w:rsidR="00A73E9E" w:rsidRPr="0095167C" w:rsidRDefault="00A02CCD" w:rsidP="007F2CFF">
            <w:pPr>
              <w:jc w:val="right"/>
              <w:rPr>
                <w:rFonts w:ascii="Arial" w:hAnsi="Arial" w:cs="Arial"/>
                <w:sz w:val="16"/>
                <w:szCs w:val="16"/>
                <w:lang w:eastAsia="en-NZ"/>
              </w:rPr>
            </w:pPr>
            <w:r>
              <w:rPr>
                <w:rFonts w:ascii="Arial" w:hAnsi="Arial" w:cs="Arial"/>
                <w:sz w:val="16"/>
                <w:szCs w:val="16"/>
              </w:rPr>
              <w:t>0.00057</w:t>
            </w:r>
          </w:p>
        </w:tc>
      </w:tr>
      <w:tr w:rsidR="00B514B3" w:rsidRPr="0095167C" w:rsidTr="00680FA7">
        <w:trPr>
          <w:cantSplit/>
          <w:trHeight w:val="276"/>
        </w:trPr>
        <w:tc>
          <w:tcPr>
            <w:tcW w:w="1479" w:type="dxa"/>
            <w:tcBorders>
              <w:top w:val="nil"/>
              <w:left w:val="single" w:sz="8" w:space="0" w:color="auto"/>
              <w:bottom w:val="single" w:sz="8" w:space="0" w:color="auto"/>
              <w:right w:val="single" w:sz="8" w:space="0" w:color="auto"/>
            </w:tcBorders>
            <w:shd w:val="clear" w:color="auto" w:fill="auto"/>
            <w:noWrap/>
            <w:hideMark/>
          </w:tcPr>
          <w:p w:rsidR="00A73E9E" w:rsidRPr="0095167C" w:rsidRDefault="00A73E9E" w:rsidP="008A7D76">
            <w:pPr>
              <w:jc w:val="left"/>
              <w:rPr>
                <w:rFonts w:ascii="Arial" w:hAnsi="Arial" w:cs="Arial"/>
                <w:sz w:val="16"/>
                <w:szCs w:val="16"/>
                <w:lang w:eastAsia="en-NZ"/>
              </w:rPr>
            </w:pPr>
            <w:r w:rsidRPr="0095167C">
              <w:rPr>
                <w:rFonts w:ascii="Arial" w:hAnsi="Arial" w:cs="Arial"/>
                <w:sz w:val="16"/>
                <w:szCs w:val="16"/>
                <w:lang w:eastAsia="en-NZ"/>
              </w:rPr>
              <w:t>Light fuel oil</w:t>
            </w:r>
          </w:p>
        </w:tc>
        <w:tc>
          <w:tcPr>
            <w:tcW w:w="1061" w:type="dxa"/>
            <w:tcBorders>
              <w:top w:val="nil"/>
              <w:left w:val="nil"/>
              <w:bottom w:val="single" w:sz="8" w:space="0" w:color="auto"/>
              <w:right w:val="single" w:sz="8" w:space="0" w:color="auto"/>
            </w:tcBorders>
            <w:shd w:val="clear" w:color="auto" w:fill="auto"/>
            <w:noWrap/>
            <w:hideMark/>
          </w:tcPr>
          <w:p w:rsidR="00A73E9E" w:rsidRPr="0095167C" w:rsidRDefault="00A73E9E" w:rsidP="008A7D76">
            <w:pPr>
              <w:jc w:val="left"/>
              <w:rPr>
                <w:rFonts w:ascii="Arial" w:hAnsi="Arial" w:cs="Arial"/>
                <w:sz w:val="16"/>
                <w:szCs w:val="16"/>
                <w:lang w:eastAsia="en-NZ"/>
              </w:rPr>
            </w:pPr>
            <w:r w:rsidRPr="0095167C">
              <w:rPr>
                <w:rFonts w:ascii="Arial" w:hAnsi="Arial" w:cs="Arial"/>
                <w:sz w:val="16"/>
                <w:szCs w:val="16"/>
                <w:lang w:eastAsia="en-NZ"/>
              </w:rPr>
              <w:t>Commercial</w:t>
            </w:r>
          </w:p>
        </w:tc>
        <w:tc>
          <w:tcPr>
            <w:tcW w:w="560" w:type="dxa"/>
            <w:tcBorders>
              <w:top w:val="nil"/>
              <w:left w:val="nil"/>
              <w:bottom w:val="single" w:sz="8" w:space="0" w:color="auto"/>
              <w:right w:val="single" w:sz="8" w:space="0" w:color="auto"/>
            </w:tcBorders>
            <w:shd w:val="clear" w:color="auto" w:fill="auto"/>
            <w:noWrap/>
            <w:hideMark/>
          </w:tcPr>
          <w:p w:rsidR="00A73E9E" w:rsidRPr="0095167C" w:rsidRDefault="00A73E9E" w:rsidP="008A7D76">
            <w:pPr>
              <w:jc w:val="left"/>
              <w:rPr>
                <w:rFonts w:ascii="Arial" w:hAnsi="Arial" w:cs="Arial"/>
                <w:sz w:val="16"/>
                <w:szCs w:val="16"/>
                <w:lang w:eastAsia="en-NZ"/>
              </w:rPr>
            </w:pPr>
            <w:r w:rsidRPr="0095167C">
              <w:rPr>
                <w:rFonts w:ascii="Arial" w:hAnsi="Arial" w:cs="Arial"/>
                <w:sz w:val="16"/>
                <w:szCs w:val="16"/>
                <w:lang w:eastAsia="en-NZ"/>
              </w:rPr>
              <w:t>Litre</w:t>
            </w:r>
          </w:p>
        </w:tc>
        <w:tc>
          <w:tcPr>
            <w:tcW w:w="1021" w:type="dxa"/>
            <w:tcBorders>
              <w:top w:val="nil"/>
              <w:left w:val="nil"/>
              <w:bottom w:val="single" w:sz="8" w:space="0" w:color="auto"/>
              <w:right w:val="single" w:sz="8" w:space="0" w:color="auto"/>
            </w:tcBorders>
            <w:shd w:val="clear" w:color="auto" w:fill="auto"/>
            <w:noWrap/>
            <w:vAlign w:val="bottom"/>
            <w:hideMark/>
          </w:tcPr>
          <w:p w:rsidR="00A73E9E" w:rsidRPr="0095167C" w:rsidRDefault="00A73E9E" w:rsidP="008A7D76">
            <w:pPr>
              <w:jc w:val="center"/>
              <w:rPr>
                <w:rFonts w:ascii="Arial" w:hAnsi="Arial" w:cs="Arial"/>
                <w:sz w:val="16"/>
                <w:szCs w:val="16"/>
                <w:lang w:eastAsia="en-NZ"/>
              </w:rPr>
            </w:pPr>
            <w:r w:rsidRPr="00A56619">
              <w:rPr>
                <w:rFonts w:ascii="Arial" w:hAnsi="Arial" w:cs="Arial"/>
                <w:sz w:val="16"/>
                <w:szCs w:val="16"/>
              </w:rPr>
              <w:t>40.44</w:t>
            </w:r>
          </w:p>
        </w:tc>
        <w:tc>
          <w:tcPr>
            <w:tcW w:w="1469" w:type="dxa"/>
            <w:tcBorders>
              <w:top w:val="nil"/>
              <w:left w:val="nil"/>
              <w:bottom w:val="single" w:sz="8" w:space="0" w:color="auto"/>
              <w:right w:val="single" w:sz="8" w:space="0" w:color="auto"/>
            </w:tcBorders>
            <w:shd w:val="clear" w:color="auto" w:fill="auto"/>
            <w:noWrap/>
            <w:vAlign w:val="bottom"/>
            <w:hideMark/>
          </w:tcPr>
          <w:p w:rsidR="00A73E9E" w:rsidRPr="0095167C" w:rsidRDefault="00A73E9E" w:rsidP="007F2CFF">
            <w:pPr>
              <w:jc w:val="right"/>
              <w:rPr>
                <w:rFonts w:ascii="Arial" w:hAnsi="Arial" w:cs="Arial"/>
                <w:sz w:val="16"/>
                <w:szCs w:val="16"/>
                <w:lang w:eastAsia="en-NZ"/>
              </w:rPr>
            </w:pPr>
            <w:r w:rsidRPr="00A56619">
              <w:rPr>
                <w:rFonts w:ascii="Arial" w:hAnsi="Arial" w:cs="Arial"/>
                <w:sz w:val="16"/>
                <w:szCs w:val="16"/>
              </w:rPr>
              <w:t>72.84</w:t>
            </w:r>
          </w:p>
        </w:tc>
        <w:tc>
          <w:tcPr>
            <w:tcW w:w="1467" w:type="dxa"/>
            <w:tcBorders>
              <w:top w:val="nil"/>
              <w:left w:val="nil"/>
              <w:bottom w:val="single" w:sz="8" w:space="0" w:color="auto"/>
              <w:right w:val="single" w:sz="8" w:space="0" w:color="auto"/>
            </w:tcBorders>
            <w:shd w:val="clear" w:color="auto" w:fill="auto"/>
            <w:noWrap/>
            <w:vAlign w:val="bottom"/>
            <w:hideMark/>
          </w:tcPr>
          <w:p w:rsidR="00A73E9E" w:rsidRPr="0095167C" w:rsidRDefault="00A02CCD" w:rsidP="007F2CFF">
            <w:pPr>
              <w:jc w:val="right"/>
              <w:rPr>
                <w:rFonts w:ascii="Arial" w:hAnsi="Arial" w:cs="Arial"/>
                <w:sz w:val="16"/>
                <w:szCs w:val="16"/>
                <w:lang w:eastAsia="en-NZ"/>
              </w:rPr>
            </w:pPr>
            <w:r>
              <w:rPr>
                <w:rFonts w:ascii="Arial" w:hAnsi="Arial" w:cs="Arial"/>
                <w:sz w:val="16"/>
                <w:szCs w:val="16"/>
              </w:rPr>
              <w:t>0.0095</w:t>
            </w:r>
          </w:p>
        </w:tc>
        <w:tc>
          <w:tcPr>
            <w:tcW w:w="1565" w:type="dxa"/>
            <w:tcBorders>
              <w:top w:val="nil"/>
              <w:left w:val="nil"/>
              <w:bottom w:val="single" w:sz="8" w:space="0" w:color="auto"/>
              <w:right w:val="single" w:sz="8" w:space="0" w:color="auto"/>
            </w:tcBorders>
            <w:shd w:val="clear" w:color="auto" w:fill="auto"/>
            <w:noWrap/>
            <w:vAlign w:val="bottom"/>
            <w:hideMark/>
          </w:tcPr>
          <w:p w:rsidR="00A73E9E" w:rsidRPr="0095167C" w:rsidRDefault="00A02CCD" w:rsidP="007F2CFF">
            <w:pPr>
              <w:jc w:val="right"/>
              <w:rPr>
                <w:rFonts w:ascii="Arial" w:hAnsi="Arial" w:cs="Arial"/>
                <w:sz w:val="16"/>
                <w:szCs w:val="16"/>
                <w:lang w:eastAsia="en-NZ"/>
              </w:rPr>
            </w:pPr>
            <w:r>
              <w:rPr>
                <w:rFonts w:ascii="Arial" w:hAnsi="Arial" w:cs="Arial"/>
                <w:sz w:val="16"/>
                <w:szCs w:val="16"/>
              </w:rPr>
              <w:t>0.00057</w:t>
            </w:r>
          </w:p>
        </w:tc>
      </w:tr>
      <w:tr w:rsidR="00B514B3" w:rsidRPr="0095167C" w:rsidTr="00680FA7">
        <w:trPr>
          <w:cantSplit/>
          <w:trHeight w:val="276"/>
        </w:trPr>
        <w:tc>
          <w:tcPr>
            <w:tcW w:w="1479" w:type="dxa"/>
            <w:vMerge w:val="restart"/>
            <w:tcBorders>
              <w:top w:val="nil"/>
              <w:left w:val="single" w:sz="8" w:space="0" w:color="auto"/>
              <w:bottom w:val="single" w:sz="8" w:space="0" w:color="000000"/>
              <w:right w:val="single" w:sz="8" w:space="0" w:color="auto"/>
            </w:tcBorders>
            <w:shd w:val="clear" w:color="auto" w:fill="auto"/>
            <w:noWrap/>
            <w:hideMark/>
          </w:tcPr>
          <w:p w:rsidR="00A73E9E" w:rsidRPr="0095167C" w:rsidRDefault="00A73E9E" w:rsidP="008A7D76">
            <w:pPr>
              <w:jc w:val="left"/>
              <w:rPr>
                <w:rFonts w:ascii="Arial" w:hAnsi="Arial" w:cs="Arial"/>
                <w:sz w:val="16"/>
                <w:szCs w:val="16"/>
                <w:lang w:eastAsia="en-NZ"/>
              </w:rPr>
            </w:pPr>
            <w:r w:rsidRPr="0095167C">
              <w:rPr>
                <w:rFonts w:ascii="Arial" w:hAnsi="Arial" w:cs="Arial"/>
                <w:sz w:val="16"/>
                <w:szCs w:val="16"/>
                <w:lang w:eastAsia="en-NZ"/>
              </w:rPr>
              <w:t>Distributed natural gas</w:t>
            </w:r>
          </w:p>
        </w:tc>
        <w:tc>
          <w:tcPr>
            <w:tcW w:w="1061" w:type="dxa"/>
            <w:vMerge w:val="restart"/>
            <w:tcBorders>
              <w:top w:val="nil"/>
              <w:left w:val="single" w:sz="8" w:space="0" w:color="auto"/>
              <w:bottom w:val="single" w:sz="8" w:space="0" w:color="000000"/>
              <w:right w:val="single" w:sz="8" w:space="0" w:color="auto"/>
            </w:tcBorders>
            <w:shd w:val="clear" w:color="auto" w:fill="auto"/>
            <w:noWrap/>
            <w:hideMark/>
          </w:tcPr>
          <w:p w:rsidR="00A73E9E" w:rsidRPr="0095167C" w:rsidRDefault="00A73E9E" w:rsidP="008A7D76">
            <w:pPr>
              <w:jc w:val="left"/>
              <w:rPr>
                <w:rFonts w:ascii="Arial" w:hAnsi="Arial" w:cs="Arial"/>
                <w:sz w:val="16"/>
                <w:szCs w:val="16"/>
                <w:lang w:eastAsia="en-NZ"/>
              </w:rPr>
            </w:pPr>
            <w:r w:rsidRPr="0095167C">
              <w:rPr>
                <w:rFonts w:ascii="Arial" w:hAnsi="Arial" w:cs="Arial"/>
                <w:sz w:val="16"/>
                <w:szCs w:val="16"/>
                <w:lang w:eastAsia="en-NZ"/>
              </w:rPr>
              <w:t>Industry</w:t>
            </w:r>
          </w:p>
        </w:tc>
        <w:tc>
          <w:tcPr>
            <w:tcW w:w="560" w:type="dxa"/>
            <w:tcBorders>
              <w:top w:val="nil"/>
              <w:left w:val="nil"/>
              <w:bottom w:val="single" w:sz="8" w:space="0" w:color="auto"/>
              <w:right w:val="single" w:sz="8" w:space="0" w:color="auto"/>
            </w:tcBorders>
            <w:shd w:val="clear" w:color="auto" w:fill="auto"/>
            <w:noWrap/>
            <w:hideMark/>
          </w:tcPr>
          <w:p w:rsidR="00A73E9E" w:rsidRPr="0095167C" w:rsidRDefault="00A73E9E" w:rsidP="008A7D76">
            <w:pPr>
              <w:jc w:val="left"/>
              <w:rPr>
                <w:rFonts w:ascii="Arial" w:hAnsi="Arial" w:cs="Arial"/>
                <w:sz w:val="16"/>
                <w:szCs w:val="16"/>
                <w:lang w:eastAsia="en-NZ"/>
              </w:rPr>
            </w:pPr>
            <w:r w:rsidRPr="0095167C">
              <w:rPr>
                <w:rFonts w:ascii="Arial" w:hAnsi="Arial" w:cs="Arial"/>
                <w:sz w:val="16"/>
                <w:szCs w:val="16"/>
                <w:lang w:eastAsia="en-NZ"/>
              </w:rPr>
              <w:t>KWh</w:t>
            </w:r>
          </w:p>
        </w:tc>
        <w:tc>
          <w:tcPr>
            <w:tcW w:w="1021" w:type="dxa"/>
            <w:tcBorders>
              <w:top w:val="nil"/>
              <w:left w:val="nil"/>
              <w:bottom w:val="single" w:sz="8" w:space="0" w:color="auto"/>
              <w:right w:val="single" w:sz="8" w:space="0" w:color="auto"/>
            </w:tcBorders>
            <w:shd w:val="clear" w:color="auto" w:fill="auto"/>
            <w:noWrap/>
            <w:vAlign w:val="bottom"/>
            <w:hideMark/>
          </w:tcPr>
          <w:p w:rsidR="00A73E9E" w:rsidRPr="0095167C" w:rsidRDefault="00A73E9E" w:rsidP="008A7D76">
            <w:pPr>
              <w:jc w:val="center"/>
              <w:rPr>
                <w:rFonts w:ascii="Arial" w:hAnsi="Arial" w:cs="Arial"/>
                <w:sz w:val="16"/>
                <w:szCs w:val="16"/>
                <w:lang w:eastAsia="en-NZ"/>
              </w:rPr>
            </w:pPr>
            <w:r w:rsidRPr="00A56619">
              <w:rPr>
                <w:rFonts w:ascii="Arial" w:hAnsi="Arial" w:cs="Arial"/>
                <w:sz w:val="16"/>
                <w:szCs w:val="16"/>
              </w:rPr>
              <w:t>NA</w:t>
            </w:r>
          </w:p>
        </w:tc>
        <w:tc>
          <w:tcPr>
            <w:tcW w:w="1469" w:type="dxa"/>
            <w:tcBorders>
              <w:top w:val="nil"/>
              <w:left w:val="nil"/>
              <w:bottom w:val="single" w:sz="8" w:space="0" w:color="auto"/>
              <w:right w:val="single" w:sz="8" w:space="0" w:color="auto"/>
            </w:tcBorders>
            <w:shd w:val="clear" w:color="auto" w:fill="auto"/>
            <w:noWrap/>
            <w:vAlign w:val="bottom"/>
            <w:hideMark/>
          </w:tcPr>
          <w:p w:rsidR="00A73E9E" w:rsidRPr="0095167C" w:rsidRDefault="00A73E9E" w:rsidP="007F2CFF">
            <w:pPr>
              <w:jc w:val="right"/>
              <w:rPr>
                <w:rFonts w:ascii="Arial" w:hAnsi="Arial" w:cs="Arial"/>
                <w:sz w:val="16"/>
                <w:szCs w:val="16"/>
                <w:lang w:eastAsia="en-NZ"/>
              </w:rPr>
            </w:pPr>
            <w:r w:rsidRPr="00A56619">
              <w:rPr>
                <w:rFonts w:ascii="Arial" w:hAnsi="Arial" w:cs="Arial"/>
                <w:sz w:val="16"/>
                <w:szCs w:val="16"/>
              </w:rPr>
              <w:t>0.19</w:t>
            </w:r>
          </w:p>
        </w:tc>
        <w:tc>
          <w:tcPr>
            <w:tcW w:w="1467" w:type="dxa"/>
            <w:tcBorders>
              <w:top w:val="nil"/>
              <w:left w:val="nil"/>
              <w:bottom w:val="single" w:sz="8" w:space="0" w:color="auto"/>
              <w:right w:val="single" w:sz="8" w:space="0" w:color="auto"/>
            </w:tcBorders>
            <w:shd w:val="clear" w:color="auto" w:fill="auto"/>
            <w:noWrap/>
            <w:vAlign w:val="bottom"/>
            <w:hideMark/>
          </w:tcPr>
          <w:p w:rsidR="00A73E9E" w:rsidRPr="0095167C" w:rsidRDefault="00A73E9E" w:rsidP="00907AF8">
            <w:pPr>
              <w:jc w:val="right"/>
              <w:rPr>
                <w:rFonts w:ascii="Arial" w:hAnsi="Arial" w:cs="Arial"/>
                <w:sz w:val="16"/>
                <w:szCs w:val="16"/>
                <w:lang w:eastAsia="en-NZ"/>
              </w:rPr>
            </w:pPr>
            <w:r w:rsidRPr="00A56619">
              <w:rPr>
                <w:rFonts w:ascii="Arial" w:hAnsi="Arial" w:cs="Arial"/>
                <w:sz w:val="16"/>
                <w:szCs w:val="16"/>
              </w:rPr>
              <w:t>0.00000324</w:t>
            </w:r>
          </w:p>
        </w:tc>
        <w:tc>
          <w:tcPr>
            <w:tcW w:w="1565" w:type="dxa"/>
            <w:tcBorders>
              <w:top w:val="nil"/>
              <w:left w:val="nil"/>
              <w:bottom w:val="single" w:sz="8" w:space="0" w:color="auto"/>
              <w:right w:val="single" w:sz="8" w:space="0" w:color="auto"/>
            </w:tcBorders>
            <w:shd w:val="clear" w:color="auto" w:fill="auto"/>
            <w:noWrap/>
            <w:vAlign w:val="bottom"/>
            <w:hideMark/>
          </w:tcPr>
          <w:p w:rsidR="00A73E9E" w:rsidRPr="0095167C" w:rsidRDefault="00A73E9E" w:rsidP="005D0D22">
            <w:pPr>
              <w:jc w:val="right"/>
              <w:rPr>
                <w:rFonts w:ascii="Arial" w:hAnsi="Arial" w:cs="Arial"/>
                <w:sz w:val="16"/>
                <w:szCs w:val="16"/>
                <w:lang w:eastAsia="en-NZ"/>
              </w:rPr>
            </w:pPr>
            <w:r w:rsidRPr="00A56619">
              <w:rPr>
                <w:rFonts w:ascii="Arial" w:hAnsi="Arial" w:cs="Arial"/>
                <w:sz w:val="16"/>
                <w:szCs w:val="16"/>
              </w:rPr>
              <w:t>0.000000324</w:t>
            </w:r>
          </w:p>
        </w:tc>
      </w:tr>
      <w:tr w:rsidR="00B514B3" w:rsidRPr="0095167C" w:rsidTr="00680FA7">
        <w:trPr>
          <w:trHeight w:val="276"/>
        </w:trPr>
        <w:tc>
          <w:tcPr>
            <w:tcW w:w="1479" w:type="dxa"/>
            <w:vMerge/>
            <w:tcBorders>
              <w:top w:val="nil"/>
              <w:left w:val="single" w:sz="8" w:space="0" w:color="auto"/>
              <w:bottom w:val="single" w:sz="8" w:space="0" w:color="000000"/>
              <w:right w:val="single" w:sz="8" w:space="0" w:color="auto"/>
            </w:tcBorders>
            <w:vAlign w:val="center"/>
            <w:hideMark/>
          </w:tcPr>
          <w:p w:rsidR="00A73E9E" w:rsidRPr="0095167C" w:rsidRDefault="00A73E9E" w:rsidP="008A7D76">
            <w:pPr>
              <w:jc w:val="left"/>
              <w:rPr>
                <w:rFonts w:ascii="Arial" w:hAnsi="Arial" w:cs="Arial"/>
                <w:sz w:val="16"/>
                <w:szCs w:val="16"/>
                <w:lang w:eastAsia="en-NZ"/>
              </w:rPr>
            </w:pPr>
          </w:p>
        </w:tc>
        <w:tc>
          <w:tcPr>
            <w:tcW w:w="1061" w:type="dxa"/>
            <w:vMerge/>
            <w:tcBorders>
              <w:top w:val="nil"/>
              <w:left w:val="single" w:sz="8" w:space="0" w:color="auto"/>
              <w:bottom w:val="single" w:sz="8" w:space="0" w:color="000000"/>
              <w:right w:val="single" w:sz="8" w:space="0" w:color="auto"/>
            </w:tcBorders>
            <w:vAlign w:val="center"/>
            <w:hideMark/>
          </w:tcPr>
          <w:p w:rsidR="00A73E9E" w:rsidRPr="0095167C" w:rsidRDefault="00A73E9E" w:rsidP="008A7D76">
            <w:pPr>
              <w:jc w:val="left"/>
              <w:rPr>
                <w:rFonts w:ascii="Arial" w:hAnsi="Arial" w:cs="Arial"/>
                <w:sz w:val="16"/>
                <w:szCs w:val="16"/>
                <w:lang w:eastAsia="en-NZ"/>
              </w:rPr>
            </w:pPr>
          </w:p>
        </w:tc>
        <w:tc>
          <w:tcPr>
            <w:tcW w:w="560" w:type="dxa"/>
            <w:tcBorders>
              <w:top w:val="nil"/>
              <w:left w:val="nil"/>
              <w:bottom w:val="single" w:sz="8" w:space="0" w:color="auto"/>
              <w:right w:val="single" w:sz="8" w:space="0" w:color="auto"/>
            </w:tcBorders>
            <w:shd w:val="clear" w:color="auto" w:fill="auto"/>
            <w:noWrap/>
            <w:hideMark/>
          </w:tcPr>
          <w:p w:rsidR="00A73E9E" w:rsidRPr="0095167C" w:rsidRDefault="00A73E9E" w:rsidP="008A7D76">
            <w:pPr>
              <w:jc w:val="left"/>
              <w:rPr>
                <w:rFonts w:ascii="Arial" w:hAnsi="Arial" w:cs="Arial"/>
                <w:sz w:val="16"/>
                <w:szCs w:val="16"/>
                <w:lang w:eastAsia="en-NZ"/>
              </w:rPr>
            </w:pPr>
            <w:r w:rsidRPr="0095167C">
              <w:rPr>
                <w:rFonts w:ascii="Arial" w:hAnsi="Arial" w:cs="Arial"/>
                <w:sz w:val="16"/>
                <w:szCs w:val="16"/>
                <w:lang w:eastAsia="en-NZ"/>
              </w:rPr>
              <w:t>GJ</w:t>
            </w:r>
          </w:p>
        </w:tc>
        <w:tc>
          <w:tcPr>
            <w:tcW w:w="1021" w:type="dxa"/>
            <w:tcBorders>
              <w:top w:val="nil"/>
              <w:left w:val="nil"/>
              <w:bottom w:val="single" w:sz="8" w:space="0" w:color="auto"/>
              <w:right w:val="single" w:sz="8" w:space="0" w:color="auto"/>
            </w:tcBorders>
            <w:shd w:val="clear" w:color="auto" w:fill="auto"/>
            <w:noWrap/>
            <w:vAlign w:val="bottom"/>
            <w:hideMark/>
          </w:tcPr>
          <w:p w:rsidR="00A73E9E" w:rsidRPr="0095167C" w:rsidRDefault="00A73E9E" w:rsidP="008A7D76">
            <w:pPr>
              <w:jc w:val="center"/>
              <w:rPr>
                <w:rFonts w:ascii="Arial" w:hAnsi="Arial" w:cs="Arial"/>
                <w:sz w:val="16"/>
                <w:szCs w:val="16"/>
                <w:lang w:eastAsia="en-NZ"/>
              </w:rPr>
            </w:pPr>
            <w:r w:rsidRPr="00A56619">
              <w:rPr>
                <w:rFonts w:ascii="Arial" w:hAnsi="Arial" w:cs="Arial"/>
                <w:sz w:val="16"/>
                <w:szCs w:val="16"/>
              </w:rPr>
              <w:t>NA</w:t>
            </w:r>
          </w:p>
        </w:tc>
        <w:tc>
          <w:tcPr>
            <w:tcW w:w="1469" w:type="dxa"/>
            <w:tcBorders>
              <w:top w:val="nil"/>
              <w:left w:val="nil"/>
              <w:bottom w:val="single" w:sz="8" w:space="0" w:color="auto"/>
              <w:right w:val="single" w:sz="8" w:space="0" w:color="auto"/>
            </w:tcBorders>
            <w:shd w:val="clear" w:color="auto" w:fill="auto"/>
            <w:noWrap/>
            <w:vAlign w:val="bottom"/>
            <w:hideMark/>
          </w:tcPr>
          <w:p w:rsidR="00A73E9E" w:rsidRPr="0095167C" w:rsidRDefault="00A73E9E" w:rsidP="007F2CFF">
            <w:pPr>
              <w:jc w:val="right"/>
              <w:rPr>
                <w:rFonts w:ascii="Arial" w:hAnsi="Arial" w:cs="Arial"/>
                <w:sz w:val="16"/>
                <w:szCs w:val="16"/>
                <w:lang w:eastAsia="en-NZ"/>
              </w:rPr>
            </w:pPr>
            <w:r w:rsidRPr="00A56619">
              <w:rPr>
                <w:rFonts w:ascii="Arial" w:hAnsi="Arial" w:cs="Arial"/>
                <w:sz w:val="16"/>
                <w:szCs w:val="16"/>
              </w:rPr>
              <w:t>53.81</w:t>
            </w:r>
          </w:p>
        </w:tc>
        <w:tc>
          <w:tcPr>
            <w:tcW w:w="1467" w:type="dxa"/>
            <w:tcBorders>
              <w:top w:val="nil"/>
              <w:left w:val="nil"/>
              <w:bottom w:val="single" w:sz="8" w:space="0" w:color="auto"/>
              <w:right w:val="single" w:sz="8" w:space="0" w:color="auto"/>
            </w:tcBorders>
            <w:shd w:val="clear" w:color="auto" w:fill="auto"/>
            <w:noWrap/>
            <w:vAlign w:val="bottom"/>
            <w:hideMark/>
          </w:tcPr>
          <w:p w:rsidR="00A73E9E" w:rsidRPr="0095167C" w:rsidRDefault="0080130C" w:rsidP="007F2CFF">
            <w:pPr>
              <w:jc w:val="right"/>
              <w:rPr>
                <w:rFonts w:ascii="Arial" w:hAnsi="Arial" w:cs="Arial"/>
                <w:sz w:val="16"/>
                <w:szCs w:val="16"/>
                <w:lang w:eastAsia="en-NZ"/>
              </w:rPr>
            </w:pPr>
            <w:r>
              <w:rPr>
                <w:rFonts w:ascii="Arial" w:hAnsi="Arial" w:cs="Arial"/>
                <w:sz w:val="16"/>
                <w:szCs w:val="16"/>
              </w:rPr>
              <w:t>0.0009</w:t>
            </w:r>
          </w:p>
        </w:tc>
        <w:tc>
          <w:tcPr>
            <w:tcW w:w="1565" w:type="dxa"/>
            <w:tcBorders>
              <w:top w:val="nil"/>
              <w:left w:val="nil"/>
              <w:bottom w:val="single" w:sz="8" w:space="0" w:color="auto"/>
              <w:right w:val="single" w:sz="8" w:space="0" w:color="auto"/>
            </w:tcBorders>
            <w:shd w:val="clear" w:color="auto" w:fill="auto"/>
            <w:noWrap/>
            <w:vAlign w:val="bottom"/>
            <w:hideMark/>
          </w:tcPr>
          <w:p w:rsidR="00A73E9E" w:rsidRPr="0095167C" w:rsidRDefault="0080130C" w:rsidP="007F2CFF">
            <w:pPr>
              <w:jc w:val="right"/>
              <w:rPr>
                <w:rFonts w:ascii="Arial" w:hAnsi="Arial" w:cs="Arial"/>
                <w:sz w:val="16"/>
                <w:szCs w:val="16"/>
                <w:lang w:eastAsia="en-NZ"/>
              </w:rPr>
            </w:pPr>
            <w:r>
              <w:rPr>
                <w:rFonts w:ascii="Arial" w:hAnsi="Arial" w:cs="Arial"/>
                <w:sz w:val="16"/>
                <w:szCs w:val="16"/>
              </w:rPr>
              <w:t>0.00009</w:t>
            </w:r>
          </w:p>
        </w:tc>
      </w:tr>
      <w:tr w:rsidR="00B514B3" w:rsidRPr="0095167C" w:rsidTr="00680FA7">
        <w:trPr>
          <w:cantSplit/>
          <w:trHeight w:val="276"/>
        </w:trPr>
        <w:tc>
          <w:tcPr>
            <w:tcW w:w="1479" w:type="dxa"/>
            <w:tcBorders>
              <w:top w:val="nil"/>
              <w:left w:val="single" w:sz="8" w:space="0" w:color="auto"/>
              <w:bottom w:val="single" w:sz="8" w:space="0" w:color="auto"/>
              <w:right w:val="single" w:sz="8" w:space="0" w:color="auto"/>
            </w:tcBorders>
            <w:shd w:val="clear" w:color="auto" w:fill="auto"/>
            <w:noWrap/>
            <w:hideMark/>
          </w:tcPr>
          <w:p w:rsidR="00A73E9E" w:rsidRPr="0095167C" w:rsidRDefault="00A73E9E" w:rsidP="008A7D76">
            <w:pPr>
              <w:jc w:val="left"/>
              <w:rPr>
                <w:rFonts w:ascii="Arial" w:hAnsi="Arial" w:cs="Arial"/>
                <w:sz w:val="16"/>
                <w:szCs w:val="16"/>
                <w:lang w:eastAsia="en-NZ"/>
              </w:rPr>
            </w:pPr>
            <w:r w:rsidRPr="0095167C">
              <w:rPr>
                <w:rFonts w:ascii="Arial" w:hAnsi="Arial" w:cs="Arial"/>
                <w:sz w:val="16"/>
                <w:szCs w:val="16"/>
                <w:lang w:eastAsia="en-NZ"/>
              </w:rPr>
              <w:t>Coal – bituminous</w:t>
            </w:r>
          </w:p>
        </w:tc>
        <w:tc>
          <w:tcPr>
            <w:tcW w:w="1061" w:type="dxa"/>
            <w:tcBorders>
              <w:top w:val="nil"/>
              <w:left w:val="nil"/>
              <w:bottom w:val="single" w:sz="8" w:space="0" w:color="auto"/>
              <w:right w:val="single" w:sz="8" w:space="0" w:color="auto"/>
            </w:tcBorders>
            <w:shd w:val="clear" w:color="auto" w:fill="auto"/>
            <w:noWrap/>
            <w:hideMark/>
          </w:tcPr>
          <w:p w:rsidR="00A73E9E" w:rsidRPr="0095167C" w:rsidRDefault="00A73E9E" w:rsidP="008A7D76">
            <w:pPr>
              <w:jc w:val="left"/>
              <w:rPr>
                <w:rFonts w:ascii="Arial" w:hAnsi="Arial" w:cs="Arial"/>
                <w:sz w:val="16"/>
                <w:szCs w:val="16"/>
                <w:lang w:eastAsia="en-NZ"/>
              </w:rPr>
            </w:pPr>
            <w:r w:rsidRPr="0095167C">
              <w:rPr>
                <w:rFonts w:ascii="Arial" w:hAnsi="Arial" w:cs="Arial"/>
                <w:sz w:val="16"/>
                <w:szCs w:val="16"/>
                <w:lang w:eastAsia="en-NZ"/>
              </w:rPr>
              <w:t>Industry</w:t>
            </w:r>
          </w:p>
        </w:tc>
        <w:tc>
          <w:tcPr>
            <w:tcW w:w="560" w:type="dxa"/>
            <w:tcBorders>
              <w:top w:val="nil"/>
              <w:left w:val="nil"/>
              <w:bottom w:val="single" w:sz="8" w:space="0" w:color="auto"/>
              <w:right w:val="single" w:sz="8" w:space="0" w:color="auto"/>
            </w:tcBorders>
            <w:shd w:val="clear" w:color="auto" w:fill="auto"/>
            <w:noWrap/>
            <w:hideMark/>
          </w:tcPr>
          <w:p w:rsidR="00A73E9E" w:rsidRPr="0095167C" w:rsidRDefault="00A73E9E" w:rsidP="008A7D76">
            <w:pPr>
              <w:jc w:val="left"/>
              <w:rPr>
                <w:rFonts w:ascii="Arial" w:hAnsi="Arial" w:cs="Arial"/>
                <w:sz w:val="16"/>
                <w:szCs w:val="16"/>
                <w:lang w:eastAsia="en-NZ"/>
              </w:rPr>
            </w:pPr>
            <w:r w:rsidRPr="0095167C">
              <w:rPr>
                <w:rFonts w:ascii="Arial" w:hAnsi="Arial" w:cs="Arial"/>
                <w:sz w:val="16"/>
                <w:szCs w:val="16"/>
                <w:lang w:eastAsia="en-NZ"/>
              </w:rPr>
              <w:t>Kg</w:t>
            </w:r>
          </w:p>
        </w:tc>
        <w:tc>
          <w:tcPr>
            <w:tcW w:w="1021" w:type="dxa"/>
            <w:tcBorders>
              <w:top w:val="nil"/>
              <w:left w:val="nil"/>
              <w:bottom w:val="single" w:sz="8" w:space="0" w:color="auto"/>
              <w:right w:val="single" w:sz="8" w:space="0" w:color="auto"/>
            </w:tcBorders>
            <w:shd w:val="clear" w:color="auto" w:fill="auto"/>
            <w:noWrap/>
            <w:vAlign w:val="bottom"/>
            <w:hideMark/>
          </w:tcPr>
          <w:p w:rsidR="00A73E9E" w:rsidRPr="0095167C" w:rsidRDefault="00A73E9E" w:rsidP="008A7D76">
            <w:pPr>
              <w:jc w:val="center"/>
              <w:rPr>
                <w:rFonts w:ascii="Arial" w:hAnsi="Arial" w:cs="Arial"/>
                <w:sz w:val="16"/>
                <w:szCs w:val="16"/>
                <w:lang w:eastAsia="en-NZ"/>
              </w:rPr>
            </w:pPr>
            <w:r w:rsidRPr="00A56619">
              <w:rPr>
                <w:rFonts w:ascii="Arial" w:hAnsi="Arial" w:cs="Arial"/>
                <w:sz w:val="16"/>
                <w:szCs w:val="16"/>
              </w:rPr>
              <w:t>29.87</w:t>
            </w:r>
          </w:p>
        </w:tc>
        <w:tc>
          <w:tcPr>
            <w:tcW w:w="1469" w:type="dxa"/>
            <w:tcBorders>
              <w:top w:val="nil"/>
              <w:left w:val="nil"/>
              <w:bottom w:val="single" w:sz="8" w:space="0" w:color="auto"/>
              <w:right w:val="single" w:sz="8" w:space="0" w:color="auto"/>
            </w:tcBorders>
            <w:shd w:val="clear" w:color="auto" w:fill="auto"/>
            <w:noWrap/>
            <w:vAlign w:val="bottom"/>
            <w:hideMark/>
          </w:tcPr>
          <w:p w:rsidR="00A73E9E" w:rsidRPr="0095167C" w:rsidRDefault="00A73E9E" w:rsidP="007F2CFF">
            <w:pPr>
              <w:jc w:val="right"/>
              <w:rPr>
                <w:rFonts w:ascii="Arial" w:hAnsi="Arial" w:cs="Arial"/>
                <w:sz w:val="16"/>
                <w:szCs w:val="16"/>
                <w:lang w:eastAsia="en-NZ"/>
              </w:rPr>
            </w:pPr>
            <w:r w:rsidRPr="00A56619">
              <w:rPr>
                <w:rFonts w:ascii="Arial" w:hAnsi="Arial" w:cs="Arial"/>
                <w:sz w:val="16"/>
                <w:szCs w:val="16"/>
              </w:rPr>
              <w:t>89.13</w:t>
            </w:r>
          </w:p>
        </w:tc>
        <w:tc>
          <w:tcPr>
            <w:tcW w:w="1467" w:type="dxa"/>
            <w:tcBorders>
              <w:top w:val="nil"/>
              <w:left w:val="nil"/>
              <w:bottom w:val="single" w:sz="8" w:space="0" w:color="auto"/>
              <w:right w:val="single" w:sz="8" w:space="0" w:color="auto"/>
            </w:tcBorders>
            <w:shd w:val="clear" w:color="auto" w:fill="auto"/>
            <w:noWrap/>
            <w:vAlign w:val="bottom"/>
            <w:hideMark/>
          </w:tcPr>
          <w:p w:rsidR="00A73E9E" w:rsidRPr="0095167C" w:rsidRDefault="0080130C" w:rsidP="007F2CFF">
            <w:pPr>
              <w:jc w:val="right"/>
              <w:rPr>
                <w:rFonts w:ascii="Arial" w:hAnsi="Arial" w:cs="Arial"/>
                <w:sz w:val="16"/>
                <w:szCs w:val="16"/>
                <w:lang w:eastAsia="en-NZ"/>
              </w:rPr>
            </w:pPr>
            <w:r>
              <w:rPr>
                <w:rFonts w:ascii="Arial" w:hAnsi="Arial" w:cs="Arial"/>
                <w:sz w:val="16"/>
                <w:szCs w:val="16"/>
              </w:rPr>
              <w:t>0.0095</w:t>
            </w:r>
          </w:p>
        </w:tc>
        <w:tc>
          <w:tcPr>
            <w:tcW w:w="1565" w:type="dxa"/>
            <w:tcBorders>
              <w:top w:val="nil"/>
              <w:left w:val="nil"/>
              <w:bottom w:val="single" w:sz="8" w:space="0" w:color="auto"/>
              <w:right w:val="single" w:sz="8" w:space="0" w:color="auto"/>
            </w:tcBorders>
            <w:shd w:val="clear" w:color="auto" w:fill="auto"/>
            <w:noWrap/>
            <w:vAlign w:val="bottom"/>
            <w:hideMark/>
          </w:tcPr>
          <w:p w:rsidR="00A73E9E" w:rsidRPr="0095167C" w:rsidRDefault="00A73E9E" w:rsidP="007F2CFF">
            <w:pPr>
              <w:jc w:val="right"/>
              <w:rPr>
                <w:rFonts w:ascii="Arial" w:hAnsi="Arial" w:cs="Arial"/>
                <w:sz w:val="16"/>
                <w:szCs w:val="16"/>
                <w:lang w:eastAsia="en-NZ"/>
              </w:rPr>
            </w:pPr>
            <w:r w:rsidRPr="00A56619">
              <w:rPr>
                <w:rFonts w:ascii="Arial" w:hAnsi="Arial" w:cs="Arial"/>
                <w:sz w:val="16"/>
                <w:szCs w:val="16"/>
              </w:rPr>
              <w:t>0.00143</w:t>
            </w:r>
          </w:p>
        </w:tc>
      </w:tr>
      <w:tr w:rsidR="00B514B3" w:rsidRPr="0095167C" w:rsidTr="00680FA7">
        <w:trPr>
          <w:cantSplit/>
          <w:trHeight w:val="276"/>
        </w:trPr>
        <w:tc>
          <w:tcPr>
            <w:tcW w:w="1479" w:type="dxa"/>
            <w:tcBorders>
              <w:top w:val="nil"/>
              <w:left w:val="single" w:sz="8" w:space="0" w:color="auto"/>
              <w:bottom w:val="single" w:sz="8" w:space="0" w:color="auto"/>
              <w:right w:val="single" w:sz="8" w:space="0" w:color="auto"/>
            </w:tcBorders>
            <w:shd w:val="clear" w:color="auto" w:fill="auto"/>
            <w:noWrap/>
            <w:hideMark/>
          </w:tcPr>
          <w:p w:rsidR="00A73E9E" w:rsidRPr="0095167C" w:rsidRDefault="00A73E9E" w:rsidP="008A7D76">
            <w:pPr>
              <w:jc w:val="left"/>
              <w:rPr>
                <w:rFonts w:ascii="Arial" w:hAnsi="Arial" w:cs="Arial"/>
                <w:sz w:val="16"/>
                <w:szCs w:val="16"/>
                <w:lang w:eastAsia="en-NZ"/>
              </w:rPr>
            </w:pPr>
            <w:r w:rsidRPr="0095167C">
              <w:rPr>
                <w:rFonts w:ascii="Arial" w:hAnsi="Arial" w:cs="Arial"/>
                <w:sz w:val="16"/>
                <w:szCs w:val="16"/>
                <w:lang w:eastAsia="en-NZ"/>
              </w:rPr>
              <w:t>Coal – sub-bituminous</w:t>
            </w:r>
          </w:p>
        </w:tc>
        <w:tc>
          <w:tcPr>
            <w:tcW w:w="1061" w:type="dxa"/>
            <w:tcBorders>
              <w:top w:val="nil"/>
              <w:left w:val="nil"/>
              <w:bottom w:val="single" w:sz="8" w:space="0" w:color="auto"/>
              <w:right w:val="single" w:sz="8" w:space="0" w:color="auto"/>
            </w:tcBorders>
            <w:shd w:val="clear" w:color="auto" w:fill="auto"/>
            <w:noWrap/>
            <w:hideMark/>
          </w:tcPr>
          <w:p w:rsidR="00A73E9E" w:rsidRPr="0095167C" w:rsidRDefault="00A73E9E" w:rsidP="008A7D76">
            <w:pPr>
              <w:jc w:val="left"/>
              <w:rPr>
                <w:rFonts w:ascii="Arial" w:hAnsi="Arial" w:cs="Arial"/>
                <w:sz w:val="16"/>
                <w:szCs w:val="16"/>
                <w:lang w:eastAsia="en-NZ"/>
              </w:rPr>
            </w:pPr>
            <w:r w:rsidRPr="0095167C">
              <w:rPr>
                <w:rFonts w:ascii="Arial" w:hAnsi="Arial" w:cs="Arial"/>
                <w:sz w:val="16"/>
                <w:szCs w:val="16"/>
                <w:lang w:eastAsia="en-NZ"/>
              </w:rPr>
              <w:t>Industry</w:t>
            </w:r>
          </w:p>
        </w:tc>
        <w:tc>
          <w:tcPr>
            <w:tcW w:w="560" w:type="dxa"/>
            <w:tcBorders>
              <w:top w:val="nil"/>
              <w:left w:val="nil"/>
              <w:bottom w:val="single" w:sz="8" w:space="0" w:color="auto"/>
              <w:right w:val="single" w:sz="8" w:space="0" w:color="auto"/>
            </w:tcBorders>
            <w:shd w:val="clear" w:color="auto" w:fill="auto"/>
            <w:noWrap/>
            <w:hideMark/>
          </w:tcPr>
          <w:p w:rsidR="00A73E9E" w:rsidRPr="0095167C" w:rsidRDefault="00A73E9E" w:rsidP="008A7D76">
            <w:pPr>
              <w:jc w:val="left"/>
              <w:rPr>
                <w:rFonts w:ascii="Arial" w:hAnsi="Arial" w:cs="Arial"/>
                <w:sz w:val="16"/>
                <w:szCs w:val="16"/>
                <w:lang w:eastAsia="en-NZ"/>
              </w:rPr>
            </w:pPr>
            <w:r w:rsidRPr="0095167C">
              <w:rPr>
                <w:rFonts w:ascii="Arial" w:hAnsi="Arial" w:cs="Arial"/>
                <w:sz w:val="16"/>
                <w:szCs w:val="16"/>
                <w:lang w:eastAsia="en-NZ"/>
              </w:rPr>
              <w:t>Kg</w:t>
            </w:r>
          </w:p>
        </w:tc>
        <w:tc>
          <w:tcPr>
            <w:tcW w:w="1021" w:type="dxa"/>
            <w:tcBorders>
              <w:top w:val="nil"/>
              <w:left w:val="nil"/>
              <w:bottom w:val="single" w:sz="8" w:space="0" w:color="auto"/>
              <w:right w:val="single" w:sz="8" w:space="0" w:color="auto"/>
            </w:tcBorders>
            <w:shd w:val="clear" w:color="auto" w:fill="auto"/>
            <w:noWrap/>
            <w:vAlign w:val="bottom"/>
            <w:hideMark/>
          </w:tcPr>
          <w:p w:rsidR="00A73E9E" w:rsidRPr="0095167C" w:rsidRDefault="00A73E9E" w:rsidP="00907AF8">
            <w:pPr>
              <w:jc w:val="center"/>
              <w:rPr>
                <w:rFonts w:ascii="Arial" w:hAnsi="Arial" w:cs="Arial"/>
                <w:sz w:val="16"/>
                <w:szCs w:val="16"/>
                <w:lang w:eastAsia="en-NZ"/>
              </w:rPr>
            </w:pPr>
            <w:r w:rsidRPr="00A56619">
              <w:rPr>
                <w:rFonts w:ascii="Arial" w:hAnsi="Arial" w:cs="Arial"/>
                <w:sz w:val="16"/>
                <w:szCs w:val="16"/>
              </w:rPr>
              <w:t>21.59</w:t>
            </w:r>
          </w:p>
        </w:tc>
        <w:tc>
          <w:tcPr>
            <w:tcW w:w="1469" w:type="dxa"/>
            <w:tcBorders>
              <w:top w:val="nil"/>
              <w:left w:val="nil"/>
              <w:bottom w:val="single" w:sz="8" w:space="0" w:color="auto"/>
              <w:right w:val="single" w:sz="8" w:space="0" w:color="auto"/>
            </w:tcBorders>
            <w:shd w:val="clear" w:color="auto" w:fill="auto"/>
            <w:noWrap/>
            <w:vAlign w:val="bottom"/>
            <w:hideMark/>
          </w:tcPr>
          <w:p w:rsidR="00A73E9E" w:rsidRPr="0095167C" w:rsidRDefault="00A73E9E" w:rsidP="00907AF8">
            <w:pPr>
              <w:jc w:val="right"/>
              <w:rPr>
                <w:rFonts w:ascii="Arial" w:hAnsi="Arial" w:cs="Arial"/>
                <w:sz w:val="16"/>
                <w:szCs w:val="16"/>
                <w:lang w:eastAsia="en-NZ"/>
              </w:rPr>
            </w:pPr>
            <w:r w:rsidRPr="00A56619">
              <w:rPr>
                <w:rFonts w:ascii="Arial" w:hAnsi="Arial" w:cs="Arial"/>
                <w:sz w:val="16"/>
                <w:szCs w:val="16"/>
              </w:rPr>
              <w:t>91.99</w:t>
            </w:r>
          </w:p>
        </w:tc>
        <w:tc>
          <w:tcPr>
            <w:tcW w:w="1467" w:type="dxa"/>
            <w:tcBorders>
              <w:top w:val="nil"/>
              <w:left w:val="nil"/>
              <w:bottom w:val="single" w:sz="8" w:space="0" w:color="auto"/>
              <w:right w:val="single" w:sz="8" w:space="0" w:color="auto"/>
            </w:tcBorders>
            <w:shd w:val="clear" w:color="auto" w:fill="auto"/>
            <w:noWrap/>
            <w:vAlign w:val="bottom"/>
            <w:hideMark/>
          </w:tcPr>
          <w:p w:rsidR="00A73E9E" w:rsidRPr="0095167C" w:rsidRDefault="0080130C" w:rsidP="007F2CFF">
            <w:pPr>
              <w:jc w:val="right"/>
              <w:rPr>
                <w:rFonts w:ascii="Arial" w:hAnsi="Arial" w:cs="Arial"/>
                <w:sz w:val="16"/>
                <w:szCs w:val="16"/>
                <w:lang w:eastAsia="en-NZ"/>
              </w:rPr>
            </w:pPr>
            <w:r>
              <w:rPr>
                <w:rFonts w:ascii="Arial" w:hAnsi="Arial" w:cs="Arial"/>
                <w:sz w:val="16"/>
                <w:szCs w:val="16"/>
              </w:rPr>
              <w:t>0.0095</w:t>
            </w:r>
          </w:p>
        </w:tc>
        <w:tc>
          <w:tcPr>
            <w:tcW w:w="1565" w:type="dxa"/>
            <w:tcBorders>
              <w:top w:val="nil"/>
              <w:left w:val="nil"/>
              <w:bottom w:val="single" w:sz="8" w:space="0" w:color="auto"/>
              <w:right w:val="single" w:sz="8" w:space="0" w:color="auto"/>
            </w:tcBorders>
            <w:shd w:val="clear" w:color="auto" w:fill="auto"/>
            <w:noWrap/>
            <w:vAlign w:val="bottom"/>
            <w:hideMark/>
          </w:tcPr>
          <w:p w:rsidR="00A73E9E" w:rsidRPr="0095167C" w:rsidRDefault="00A73E9E" w:rsidP="007F2CFF">
            <w:pPr>
              <w:jc w:val="right"/>
              <w:rPr>
                <w:rFonts w:ascii="Arial" w:hAnsi="Arial" w:cs="Arial"/>
                <w:sz w:val="16"/>
                <w:szCs w:val="16"/>
                <w:lang w:eastAsia="en-NZ"/>
              </w:rPr>
            </w:pPr>
            <w:r w:rsidRPr="00A56619">
              <w:rPr>
                <w:rFonts w:ascii="Arial" w:hAnsi="Arial" w:cs="Arial"/>
                <w:sz w:val="16"/>
                <w:szCs w:val="16"/>
              </w:rPr>
              <w:t>0.00143</w:t>
            </w:r>
          </w:p>
        </w:tc>
      </w:tr>
      <w:tr w:rsidR="00B514B3" w:rsidRPr="0095167C" w:rsidTr="00680FA7">
        <w:trPr>
          <w:cantSplit/>
          <w:trHeight w:val="276"/>
        </w:trPr>
        <w:tc>
          <w:tcPr>
            <w:tcW w:w="1479" w:type="dxa"/>
            <w:tcBorders>
              <w:top w:val="nil"/>
              <w:left w:val="single" w:sz="8" w:space="0" w:color="auto"/>
              <w:bottom w:val="single" w:sz="8" w:space="0" w:color="auto"/>
              <w:right w:val="single" w:sz="8" w:space="0" w:color="auto"/>
            </w:tcBorders>
            <w:shd w:val="clear" w:color="auto" w:fill="auto"/>
            <w:noWrap/>
            <w:hideMark/>
          </w:tcPr>
          <w:p w:rsidR="00A73E9E" w:rsidRPr="0095167C" w:rsidRDefault="00A73E9E" w:rsidP="008A7D76">
            <w:pPr>
              <w:jc w:val="left"/>
              <w:rPr>
                <w:rFonts w:ascii="Arial" w:hAnsi="Arial" w:cs="Arial"/>
                <w:sz w:val="16"/>
                <w:szCs w:val="16"/>
                <w:lang w:eastAsia="en-NZ"/>
              </w:rPr>
            </w:pPr>
            <w:r w:rsidRPr="0095167C">
              <w:rPr>
                <w:rFonts w:ascii="Arial" w:hAnsi="Arial" w:cs="Arial"/>
                <w:sz w:val="16"/>
                <w:szCs w:val="16"/>
                <w:lang w:eastAsia="en-NZ"/>
              </w:rPr>
              <w:t>Coal – lignite</w:t>
            </w:r>
          </w:p>
        </w:tc>
        <w:tc>
          <w:tcPr>
            <w:tcW w:w="1061" w:type="dxa"/>
            <w:tcBorders>
              <w:top w:val="nil"/>
              <w:left w:val="nil"/>
              <w:bottom w:val="single" w:sz="8" w:space="0" w:color="auto"/>
              <w:right w:val="single" w:sz="8" w:space="0" w:color="auto"/>
            </w:tcBorders>
            <w:shd w:val="clear" w:color="auto" w:fill="auto"/>
            <w:noWrap/>
            <w:hideMark/>
          </w:tcPr>
          <w:p w:rsidR="00A73E9E" w:rsidRPr="0095167C" w:rsidRDefault="00A73E9E" w:rsidP="008A7D76">
            <w:pPr>
              <w:jc w:val="left"/>
              <w:rPr>
                <w:rFonts w:ascii="Arial" w:hAnsi="Arial" w:cs="Arial"/>
                <w:sz w:val="16"/>
                <w:szCs w:val="16"/>
                <w:lang w:eastAsia="en-NZ"/>
              </w:rPr>
            </w:pPr>
            <w:r w:rsidRPr="0095167C">
              <w:rPr>
                <w:rFonts w:ascii="Arial" w:hAnsi="Arial" w:cs="Arial"/>
                <w:sz w:val="16"/>
                <w:szCs w:val="16"/>
                <w:lang w:eastAsia="en-NZ"/>
              </w:rPr>
              <w:t>Industry</w:t>
            </w:r>
          </w:p>
        </w:tc>
        <w:tc>
          <w:tcPr>
            <w:tcW w:w="560" w:type="dxa"/>
            <w:tcBorders>
              <w:top w:val="nil"/>
              <w:left w:val="nil"/>
              <w:bottom w:val="single" w:sz="8" w:space="0" w:color="auto"/>
              <w:right w:val="single" w:sz="8" w:space="0" w:color="auto"/>
            </w:tcBorders>
            <w:shd w:val="clear" w:color="auto" w:fill="auto"/>
            <w:noWrap/>
            <w:hideMark/>
          </w:tcPr>
          <w:p w:rsidR="00A73E9E" w:rsidRPr="0095167C" w:rsidRDefault="00A73E9E" w:rsidP="008A7D76">
            <w:pPr>
              <w:jc w:val="left"/>
              <w:rPr>
                <w:rFonts w:ascii="Arial" w:hAnsi="Arial" w:cs="Arial"/>
                <w:sz w:val="16"/>
                <w:szCs w:val="16"/>
                <w:lang w:eastAsia="en-NZ"/>
              </w:rPr>
            </w:pPr>
            <w:r w:rsidRPr="0095167C">
              <w:rPr>
                <w:rFonts w:ascii="Arial" w:hAnsi="Arial" w:cs="Arial"/>
                <w:sz w:val="16"/>
                <w:szCs w:val="16"/>
                <w:lang w:eastAsia="en-NZ"/>
              </w:rPr>
              <w:t>Kg</w:t>
            </w:r>
          </w:p>
        </w:tc>
        <w:tc>
          <w:tcPr>
            <w:tcW w:w="1021" w:type="dxa"/>
            <w:tcBorders>
              <w:top w:val="nil"/>
              <w:left w:val="nil"/>
              <w:bottom w:val="single" w:sz="8" w:space="0" w:color="auto"/>
              <w:right w:val="single" w:sz="8" w:space="0" w:color="auto"/>
            </w:tcBorders>
            <w:shd w:val="clear" w:color="auto" w:fill="auto"/>
            <w:noWrap/>
            <w:vAlign w:val="bottom"/>
            <w:hideMark/>
          </w:tcPr>
          <w:p w:rsidR="00A73E9E" w:rsidRPr="0095167C" w:rsidRDefault="00A73E9E" w:rsidP="008A7D76">
            <w:pPr>
              <w:jc w:val="center"/>
              <w:rPr>
                <w:rFonts w:ascii="Arial" w:hAnsi="Arial" w:cs="Arial"/>
                <w:sz w:val="16"/>
                <w:szCs w:val="16"/>
                <w:lang w:eastAsia="en-NZ"/>
              </w:rPr>
            </w:pPr>
            <w:r w:rsidRPr="00A56619">
              <w:rPr>
                <w:rFonts w:ascii="Arial" w:hAnsi="Arial" w:cs="Arial"/>
                <w:sz w:val="16"/>
                <w:szCs w:val="16"/>
              </w:rPr>
              <w:t>15.27</w:t>
            </w:r>
          </w:p>
        </w:tc>
        <w:tc>
          <w:tcPr>
            <w:tcW w:w="1469" w:type="dxa"/>
            <w:tcBorders>
              <w:top w:val="nil"/>
              <w:left w:val="nil"/>
              <w:bottom w:val="single" w:sz="8" w:space="0" w:color="auto"/>
              <w:right w:val="single" w:sz="8" w:space="0" w:color="auto"/>
            </w:tcBorders>
            <w:shd w:val="clear" w:color="auto" w:fill="auto"/>
            <w:noWrap/>
            <w:vAlign w:val="bottom"/>
            <w:hideMark/>
          </w:tcPr>
          <w:p w:rsidR="00A73E9E" w:rsidRPr="0095167C" w:rsidRDefault="00A73E9E" w:rsidP="007F2CFF">
            <w:pPr>
              <w:jc w:val="right"/>
              <w:rPr>
                <w:rFonts w:ascii="Arial" w:hAnsi="Arial" w:cs="Arial"/>
                <w:sz w:val="16"/>
                <w:szCs w:val="16"/>
                <w:lang w:eastAsia="en-NZ"/>
              </w:rPr>
            </w:pPr>
            <w:r w:rsidRPr="00A56619">
              <w:rPr>
                <w:rFonts w:ascii="Arial" w:hAnsi="Arial" w:cs="Arial"/>
                <w:sz w:val="16"/>
                <w:szCs w:val="16"/>
              </w:rPr>
              <w:t>93.11</w:t>
            </w:r>
          </w:p>
        </w:tc>
        <w:tc>
          <w:tcPr>
            <w:tcW w:w="1467" w:type="dxa"/>
            <w:tcBorders>
              <w:top w:val="nil"/>
              <w:left w:val="nil"/>
              <w:bottom w:val="single" w:sz="8" w:space="0" w:color="auto"/>
              <w:right w:val="single" w:sz="8" w:space="0" w:color="auto"/>
            </w:tcBorders>
            <w:shd w:val="clear" w:color="auto" w:fill="auto"/>
            <w:noWrap/>
            <w:vAlign w:val="bottom"/>
            <w:hideMark/>
          </w:tcPr>
          <w:p w:rsidR="00A73E9E" w:rsidRPr="0095167C" w:rsidRDefault="0080130C" w:rsidP="007F2CFF">
            <w:pPr>
              <w:jc w:val="right"/>
              <w:rPr>
                <w:rFonts w:ascii="Arial" w:hAnsi="Arial" w:cs="Arial"/>
                <w:sz w:val="16"/>
                <w:szCs w:val="16"/>
                <w:lang w:eastAsia="en-NZ"/>
              </w:rPr>
            </w:pPr>
            <w:r>
              <w:rPr>
                <w:rFonts w:ascii="Arial" w:hAnsi="Arial" w:cs="Arial"/>
                <w:sz w:val="16"/>
                <w:szCs w:val="16"/>
              </w:rPr>
              <w:t>0.0095</w:t>
            </w:r>
          </w:p>
        </w:tc>
        <w:tc>
          <w:tcPr>
            <w:tcW w:w="1565" w:type="dxa"/>
            <w:tcBorders>
              <w:top w:val="nil"/>
              <w:left w:val="nil"/>
              <w:bottom w:val="single" w:sz="8" w:space="0" w:color="auto"/>
              <w:right w:val="single" w:sz="8" w:space="0" w:color="auto"/>
            </w:tcBorders>
            <w:shd w:val="clear" w:color="auto" w:fill="auto"/>
            <w:noWrap/>
            <w:vAlign w:val="bottom"/>
            <w:hideMark/>
          </w:tcPr>
          <w:p w:rsidR="00A73E9E" w:rsidRPr="0095167C" w:rsidRDefault="00A73E9E" w:rsidP="007F2CFF">
            <w:pPr>
              <w:jc w:val="right"/>
              <w:rPr>
                <w:rFonts w:ascii="Arial" w:hAnsi="Arial" w:cs="Arial"/>
                <w:sz w:val="16"/>
                <w:szCs w:val="16"/>
                <w:lang w:eastAsia="en-NZ"/>
              </w:rPr>
            </w:pPr>
            <w:r w:rsidRPr="00A56619">
              <w:rPr>
                <w:rFonts w:ascii="Arial" w:hAnsi="Arial" w:cs="Arial"/>
                <w:sz w:val="16"/>
                <w:szCs w:val="16"/>
              </w:rPr>
              <w:t>0.00143</w:t>
            </w:r>
          </w:p>
        </w:tc>
      </w:tr>
      <w:tr w:rsidR="00B514B3" w:rsidRPr="0095167C" w:rsidTr="00680FA7">
        <w:trPr>
          <w:cantSplit/>
          <w:trHeight w:val="276"/>
        </w:trPr>
        <w:tc>
          <w:tcPr>
            <w:tcW w:w="1479" w:type="dxa"/>
            <w:tcBorders>
              <w:top w:val="nil"/>
              <w:left w:val="single" w:sz="8" w:space="0" w:color="auto"/>
              <w:bottom w:val="single" w:sz="8" w:space="0" w:color="auto"/>
              <w:right w:val="single" w:sz="8" w:space="0" w:color="auto"/>
            </w:tcBorders>
            <w:shd w:val="clear" w:color="auto" w:fill="auto"/>
            <w:noWrap/>
            <w:hideMark/>
          </w:tcPr>
          <w:p w:rsidR="00A73E9E" w:rsidRPr="0095167C" w:rsidRDefault="00A73E9E" w:rsidP="008A7D76">
            <w:pPr>
              <w:jc w:val="left"/>
              <w:rPr>
                <w:rFonts w:ascii="Arial" w:hAnsi="Arial" w:cs="Arial"/>
                <w:sz w:val="16"/>
                <w:szCs w:val="16"/>
                <w:lang w:eastAsia="en-NZ"/>
              </w:rPr>
            </w:pPr>
            <w:r w:rsidRPr="0095167C">
              <w:rPr>
                <w:rFonts w:ascii="Arial" w:hAnsi="Arial" w:cs="Arial"/>
                <w:sz w:val="16"/>
                <w:szCs w:val="16"/>
                <w:lang w:eastAsia="en-NZ"/>
              </w:rPr>
              <w:t>Diesel</w:t>
            </w:r>
          </w:p>
        </w:tc>
        <w:tc>
          <w:tcPr>
            <w:tcW w:w="1061" w:type="dxa"/>
            <w:tcBorders>
              <w:top w:val="nil"/>
              <w:left w:val="nil"/>
              <w:bottom w:val="single" w:sz="8" w:space="0" w:color="auto"/>
              <w:right w:val="single" w:sz="8" w:space="0" w:color="auto"/>
            </w:tcBorders>
            <w:shd w:val="clear" w:color="auto" w:fill="auto"/>
            <w:noWrap/>
            <w:hideMark/>
          </w:tcPr>
          <w:p w:rsidR="00A73E9E" w:rsidRPr="0095167C" w:rsidRDefault="00A73E9E" w:rsidP="008A7D76">
            <w:pPr>
              <w:jc w:val="left"/>
              <w:rPr>
                <w:rFonts w:ascii="Arial" w:hAnsi="Arial" w:cs="Arial"/>
                <w:sz w:val="16"/>
                <w:szCs w:val="16"/>
                <w:lang w:eastAsia="en-NZ"/>
              </w:rPr>
            </w:pPr>
            <w:r w:rsidRPr="0095167C">
              <w:rPr>
                <w:rFonts w:ascii="Arial" w:hAnsi="Arial" w:cs="Arial"/>
                <w:sz w:val="16"/>
                <w:szCs w:val="16"/>
                <w:lang w:eastAsia="en-NZ"/>
              </w:rPr>
              <w:t>Industry</w:t>
            </w:r>
          </w:p>
        </w:tc>
        <w:tc>
          <w:tcPr>
            <w:tcW w:w="560" w:type="dxa"/>
            <w:tcBorders>
              <w:top w:val="nil"/>
              <w:left w:val="nil"/>
              <w:bottom w:val="single" w:sz="8" w:space="0" w:color="auto"/>
              <w:right w:val="single" w:sz="8" w:space="0" w:color="auto"/>
            </w:tcBorders>
            <w:shd w:val="clear" w:color="auto" w:fill="auto"/>
            <w:noWrap/>
            <w:hideMark/>
          </w:tcPr>
          <w:p w:rsidR="00A73E9E" w:rsidRPr="0095167C" w:rsidRDefault="00A73E9E" w:rsidP="008A7D76">
            <w:pPr>
              <w:jc w:val="left"/>
              <w:rPr>
                <w:rFonts w:ascii="Arial" w:hAnsi="Arial" w:cs="Arial"/>
                <w:sz w:val="16"/>
                <w:szCs w:val="16"/>
                <w:lang w:eastAsia="en-NZ"/>
              </w:rPr>
            </w:pPr>
            <w:r w:rsidRPr="0095167C">
              <w:rPr>
                <w:rFonts w:ascii="Arial" w:hAnsi="Arial" w:cs="Arial"/>
                <w:sz w:val="16"/>
                <w:szCs w:val="16"/>
                <w:lang w:eastAsia="en-NZ"/>
              </w:rPr>
              <w:t>Litre</w:t>
            </w:r>
          </w:p>
        </w:tc>
        <w:tc>
          <w:tcPr>
            <w:tcW w:w="1021" w:type="dxa"/>
            <w:tcBorders>
              <w:top w:val="nil"/>
              <w:left w:val="nil"/>
              <w:bottom w:val="single" w:sz="8" w:space="0" w:color="auto"/>
              <w:right w:val="single" w:sz="8" w:space="0" w:color="auto"/>
            </w:tcBorders>
            <w:shd w:val="clear" w:color="auto" w:fill="auto"/>
            <w:noWrap/>
            <w:vAlign w:val="bottom"/>
            <w:hideMark/>
          </w:tcPr>
          <w:p w:rsidR="00A73E9E" w:rsidRPr="0095167C" w:rsidRDefault="00A73E9E" w:rsidP="00907AF8">
            <w:pPr>
              <w:jc w:val="center"/>
              <w:rPr>
                <w:rFonts w:ascii="Arial" w:hAnsi="Arial" w:cs="Arial"/>
                <w:sz w:val="16"/>
                <w:szCs w:val="16"/>
                <w:lang w:eastAsia="en-NZ"/>
              </w:rPr>
            </w:pPr>
            <w:r w:rsidRPr="00A56619">
              <w:rPr>
                <w:rFonts w:ascii="Arial" w:hAnsi="Arial" w:cs="Arial"/>
                <w:sz w:val="16"/>
                <w:szCs w:val="16"/>
              </w:rPr>
              <w:t>38.40</w:t>
            </w:r>
          </w:p>
        </w:tc>
        <w:tc>
          <w:tcPr>
            <w:tcW w:w="1469" w:type="dxa"/>
            <w:tcBorders>
              <w:top w:val="nil"/>
              <w:left w:val="nil"/>
              <w:bottom w:val="single" w:sz="8" w:space="0" w:color="auto"/>
              <w:right w:val="single" w:sz="8" w:space="0" w:color="auto"/>
            </w:tcBorders>
            <w:shd w:val="clear" w:color="auto" w:fill="auto"/>
            <w:noWrap/>
            <w:vAlign w:val="bottom"/>
            <w:hideMark/>
          </w:tcPr>
          <w:p w:rsidR="00A73E9E" w:rsidRPr="0095167C" w:rsidRDefault="00A73E9E" w:rsidP="007F2CFF">
            <w:pPr>
              <w:jc w:val="right"/>
              <w:rPr>
                <w:rFonts w:ascii="Arial" w:hAnsi="Arial" w:cs="Arial"/>
                <w:sz w:val="16"/>
                <w:szCs w:val="16"/>
                <w:lang w:eastAsia="en-NZ"/>
              </w:rPr>
            </w:pPr>
            <w:r w:rsidRPr="00A56619">
              <w:rPr>
                <w:rFonts w:ascii="Arial" w:hAnsi="Arial" w:cs="Arial"/>
                <w:sz w:val="16"/>
                <w:szCs w:val="16"/>
              </w:rPr>
              <w:t>69.58</w:t>
            </w:r>
          </w:p>
        </w:tc>
        <w:tc>
          <w:tcPr>
            <w:tcW w:w="1467" w:type="dxa"/>
            <w:tcBorders>
              <w:top w:val="nil"/>
              <w:left w:val="nil"/>
              <w:bottom w:val="single" w:sz="8" w:space="0" w:color="auto"/>
              <w:right w:val="single" w:sz="8" w:space="0" w:color="auto"/>
            </w:tcBorders>
            <w:shd w:val="clear" w:color="auto" w:fill="auto"/>
            <w:noWrap/>
            <w:vAlign w:val="bottom"/>
            <w:hideMark/>
          </w:tcPr>
          <w:p w:rsidR="00A73E9E" w:rsidRPr="0095167C" w:rsidRDefault="00A73E9E" w:rsidP="007F2CFF">
            <w:pPr>
              <w:jc w:val="right"/>
              <w:rPr>
                <w:rFonts w:ascii="Arial" w:hAnsi="Arial" w:cs="Arial"/>
                <w:sz w:val="16"/>
                <w:szCs w:val="16"/>
                <w:lang w:eastAsia="en-NZ"/>
              </w:rPr>
            </w:pPr>
            <w:r w:rsidRPr="00A56619">
              <w:rPr>
                <w:rFonts w:ascii="Arial" w:hAnsi="Arial" w:cs="Arial"/>
                <w:sz w:val="16"/>
                <w:szCs w:val="16"/>
              </w:rPr>
              <w:t>0.00285</w:t>
            </w:r>
          </w:p>
        </w:tc>
        <w:tc>
          <w:tcPr>
            <w:tcW w:w="1565" w:type="dxa"/>
            <w:tcBorders>
              <w:top w:val="nil"/>
              <w:left w:val="nil"/>
              <w:bottom w:val="single" w:sz="8" w:space="0" w:color="auto"/>
              <w:right w:val="single" w:sz="8" w:space="0" w:color="auto"/>
            </w:tcBorders>
            <w:shd w:val="clear" w:color="auto" w:fill="auto"/>
            <w:noWrap/>
            <w:vAlign w:val="bottom"/>
            <w:hideMark/>
          </w:tcPr>
          <w:p w:rsidR="00A73E9E" w:rsidRPr="0095167C" w:rsidRDefault="0080130C" w:rsidP="007F2CFF">
            <w:pPr>
              <w:jc w:val="right"/>
              <w:rPr>
                <w:rFonts w:ascii="Arial" w:hAnsi="Arial" w:cs="Arial"/>
                <w:sz w:val="16"/>
                <w:szCs w:val="16"/>
                <w:lang w:eastAsia="en-NZ"/>
              </w:rPr>
            </w:pPr>
            <w:r>
              <w:rPr>
                <w:rFonts w:ascii="Arial" w:hAnsi="Arial" w:cs="Arial"/>
                <w:sz w:val="16"/>
                <w:szCs w:val="16"/>
              </w:rPr>
              <w:t>0.00057</w:t>
            </w:r>
          </w:p>
        </w:tc>
      </w:tr>
      <w:tr w:rsidR="00B514B3" w:rsidRPr="0095167C" w:rsidTr="00680FA7">
        <w:trPr>
          <w:cantSplit/>
          <w:trHeight w:val="276"/>
        </w:trPr>
        <w:tc>
          <w:tcPr>
            <w:tcW w:w="1479" w:type="dxa"/>
            <w:tcBorders>
              <w:top w:val="nil"/>
              <w:left w:val="single" w:sz="8" w:space="0" w:color="auto"/>
              <w:bottom w:val="single" w:sz="8" w:space="0" w:color="auto"/>
              <w:right w:val="single" w:sz="8" w:space="0" w:color="auto"/>
            </w:tcBorders>
            <w:shd w:val="clear" w:color="auto" w:fill="auto"/>
            <w:noWrap/>
            <w:hideMark/>
          </w:tcPr>
          <w:p w:rsidR="00A73E9E" w:rsidRPr="0095167C" w:rsidRDefault="00A73E9E" w:rsidP="008A7D76">
            <w:pPr>
              <w:jc w:val="left"/>
              <w:rPr>
                <w:rFonts w:ascii="Arial" w:hAnsi="Arial" w:cs="Arial"/>
                <w:sz w:val="16"/>
                <w:szCs w:val="16"/>
                <w:lang w:eastAsia="en-NZ"/>
              </w:rPr>
            </w:pPr>
            <w:r w:rsidRPr="0095167C">
              <w:rPr>
                <w:rFonts w:ascii="Arial" w:hAnsi="Arial" w:cs="Arial"/>
                <w:sz w:val="16"/>
                <w:szCs w:val="16"/>
                <w:lang w:eastAsia="en-NZ"/>
              </w:rPr>
              <w:t>LPG</w:t>
            </w:r>
          </w:p>
        </w:tc>
        <w:tc>
          <w:tcPr>
            <w:tcW w:w="1061" w:type="dxa"/>
            <w:tcBorders>
              <w:top w:val="nil"/>
              <w:left w:val="nil"/>
              <w:bottom w:val="single" w:sz="8" w:space="0" w:color="auto"/>
              <w:right w:val="single" w:sz="8" w:space="0" w:color="auto"/>
            </w:tcBorders>
            <w:shd w:val="clear" w:color="auto" w:fill="auto"/>
            <w:noWrap/>
            <w:hideMark/>
          </w:tcPr>
          <w:p w:rsidR="00A73E9E" w:rsidRPr="0095167C" w:rsidRDefault="00A73E9E" w:rsidP="008A7D76">
            <w:pPr>
              <w:jc w:val="left"/>
              <w:rPr>
                <w:rFonts w:ascii="Arial" w:hAnsi="Arial" w:cs="Arial"/>
                <w:sz w:val="16"/>
                <w:szCs w:val="16"/>
                <w:lang w:eastAsia="en-NZ"/>
              </w:rPr>
            </w:pPr>
            <w:r w:rsidRPr="0095167C">
              <w:rPr>
                <w:rFonts w:ascii="Arial" w:hAnsi="Arial" w:cs="Arial"/>
                <w:sz w:val="16"/>
                <w:szCs w:val="16"/>
                <w:lang w:eastAsia="en-NZ"/>
              </w:rPr>
              <w:t>Industry</w:t>
            </w:r>
          </w:p>
        </w:tc>
        <w:tc>
          <w:tcPr>
            <w:tcW w:w="560" w:type="dxa"/>
            <w:tcBorders>
              <w:top w:val="nil"/>
              <w:left w:val="nil"/>
              <w:bottom w:val="single" w:sz="8" w:space="0" w:color="auto"/>
              <w:right w:val="single" w:sz="8" w:space="0" w:color="auto"/>
            </w:tcBorders>
            <w:shd w:val="clear" w:color="auto" w:fill="auto"/>
            <w:noWrap/>
            <w:hideMark/>
          </w:tcPr>
          <w:p w:rsidR="00A73E9E" w:rsidRPr="0095167C" w:rsidRDefault="00A73E9E" w:rsidP="008A7D76">
            <w:pPr>
              <w:jc w:val="left"/>
              <w:rPr>
                <w:rFonts w:ascii="Arial" w:hAnsi="Arial" w:cs="Arial"/>
                <w:sz w:val="16"/>
                <w:szCs w:val="16"/>
                <w:lang w:eastAsia="en-NZ"/>
              </w:rPr>
            </w:pPr>
            <w:r w:rsidRPr="0095167C">
              <w:rPr>
                <w:rFonts w:ascii="Arial" w:hAnsi="Arial" w:cs="Arial"/>
                <w:sz w:val="16"/>
                <w:szCs w:val="16"/>
                <w:lang w:eastAsia="en-NZ"/>
              </w:rPr>
              <w:t>Kg</w:t>
            </w:r>
          </w:p>
        </w:tc>
        <w:tc>
          <w:tcPr>
            <w:tcW w:w="1021" w:type="dxa"/>
            <w:tcBorders>
              <w:top w:val="nil"/>
              <w:left w:val="nil"/>
              <w:bottom w:val="single" w:sz="8" w:space="0" w:color="auto"/>
              <w:right w:val="single" w:sz="8" w:space="0" w:color="auto"/>
            </w:tcBorders>
            <w:shd w:val="clear" w:color="auto" w:fill="auto"/>
            <w:noWrap/>
            <w:vAlign w:val="bottom"/>
            <w:hideMark/>
          </w:tcPr>
          <w:p w:rsidR="00A73E9E" w:rsidRPr="0095167C" w:rsidRDefault="00A73E9E" w:rsidP="008A7D76">
            <w:pPr>
              <w:jc w:val="center"/>
              <w:rPr>
                <w:rFonts w:ascii="Arial" w:hAnsi="Arial" w:cs="Arial"/>
                <w:sz w:val="16"/>
                <w:szCs w:val="16"/>
                <w:lang w:eastAsia="en-NZ"/>
              </w:rPr>
            </w:pPr>
            <w:r w:rsidRPr="00A56619">
              <w:rPr>
                <w:rFonts w:ascii="Arial" w:hAnsi="Arial" w:cs="Arial"/>
                <w:sz w:val="16"/>
                <w:szCs w:val="16"/>
              </w:rPr>
              <w:t>50.00</w:t>
            </w:r>
          </w:p>
        </w:tc>
        <w:tc>
          <w:tcPr>
            <w:tcW w:w="1469" w:type="dxa"/>
            <w:tcBorders>
              <w:top w:val="nil"/>
              <w:left w:val="nil"/>
              <w:bottom w:val="single" w:sz="8" w:space="0" w:color="auto"/>
              <w:right w:val="single" w:sz="8" w:space="0" w:color="auto"/>
            </w:tcBorders>
            <w:shd w:val="clear" w:color="auto" w:fill="auto"/>
            <w:noWrap/>
            <w:vAlign w:val="bottom"/>
            <w:hideMark/>
          </w:tcPr>
          <w:p w:rsidR="00A73E9E" w:rsidRPr="0095167C" w:rsidRDefault="00A73E9E" w:rsidP="007F2CFF">
            <w:pPr>
              <w:jc w:val="right"/>
              <w:rPr>
                <w:rFonts w:ascii="Arial" w:hAnsi="Arial" w:cs="Arial"/>
                <w:sz w:val="16"/>
                <w:szCs w:val="16"/>
                <w:lang w:eastAsia="en-NZ"/>
              </w:rPr>
            </w:pPr>
            <w:r w:rsidRPr="00A56619">
              <w:rPr>
                <w:rFonts w:ascii="Arial" w:hAnsi="Arial" w:cs="Arial"/>
                <w:sz w:val="16"/>
                <w:szCs w:val="16"/>
              </w:rPr>
              <w:t>60.43</w:t>
            </w:r>
          </w:p>
        </w:tc>
        <w:tc>
          <w:tcPr>
            <w:tcW w:w="1467" w:type="dxa"/>
            <w:tcBorders>
              <w:top w:val="nil"/>
              <w:left w:val="nil"/>
              <w:bottom w:val="single" w:sz="8" w:space="0" w:color="auto"/>
              <w:right w:val="single" w:sz="8" w:space="0" w:color="auto"/>
            </w:tcBorders>
            <w:shd w:val="clear" w:color="auto" w:fill="auto"/>
            <w:noWrap/>
            <w:vAlign w:val="bottom"/>
            <w:hideMark/>
          </w:tcPr>
          <w:p w:rsidR="00A73E9E" w:rsidRPr="0095167C" w:rsidRDefault="0080130C" w:rsidP="007F2CFF">
            <w:pPr>
              <w:jc w:val="right"/>
              <w:rPr>
                <w:rFonts w:ascii="Arial" w:hAnsi="Arial" w:cs="Arial"/>
                <w:sz w:val="16"/>
                <w:szCs w:val="16"/>
                <w:lang w:eastAsia="en-NZ"/>
              </w:rPr>
            </w:pPr>
            <w:r>
              <w:rPr>
                <w:rFonts w:ascii="Arial" w:hAnsi="Arial" w:cs="Arial"/>
                <w:sz w:val="16"/>
                <w:szCs w:val="16"/>
              </w:rPr>
              <w:t>0.00095</w:t>
            </w:r>
          </w:p>
        </w:tc>
        <w:tc>
          <w:tcPr>
            <w:tcW w:w="1565" w:type="dxa"/>
            <w:tcBorders>
              <w:top w:val="nil"/>
              <w:left w:val="nil"/>
              <w:bottom w:val="single" w:sz="8" w:space="0" w:color="auto"/>
              <w:right w:val="single" w:sz="8" w:space="0" w:color="auto"/>
            </w:tcBorders>
            <w:shd w:val="clear" w:color="auto" w:fill="auto"/>
            <w:noWrap/>
            <w:vAlign w:val="bottom"/>
            <w:hideMark/>
          </w:tcPr>
          <w:p w:rsidR="00A73E9E" w:rsidRPr="0095167C" w:rsidRDefault="0080130C" w:rsidP="007F2CFF">
            <w:pPr>
              <w:jc w:val="right"/>
              <w:rPr>
                <w:rFonts w:ascii="Arial" w:hAnsi="Arial" w:cs="Arial"/>
                <w:sz w:val="16"/>
                <w:szCs w:val="16"/>
                <w:lang w:eastAsia="en-NZ"/>
              </w:rPr>
            </w:pPr>
            <w:r>
              <w:rPr>
                <w:rFonts w:ascii="Arial" w:hAnsi="Arial" w:cs="Arial"/>
                <w:sz w:val="16"/>
                <w:szCs w:val="16"/>
              </w:rPr>
              <w:t>0.000095</w:t>
            </w:r>
          </w:p>
        </w:tc>
      </w:tr>
      <w:tr w:rsidR="00B514B3" w:rsidRPr="0095167C" w:rsidTr="00680FA7">
        <w:trPr>
          <w:cantSplit/>
          <w:trHeight w:val="276"/>
        </w:trPr>
        <w:tc>
          <w:tcPr>
            <w:tcW w:w="1479" w:type="dxa"/>
            <w:tcBorders>
              <w:top w:val="nil"/>
              <w:left w:val="single" w:sz="8" w:space="0" w:color="auto"/>
              <w:bottom w:val="single" w:sz="8" w:space="0" w:color="auto"/>
              <w:right w:val="single" w:sz="8" w:space="0" w:color="auto"/>
            </w:tcBorders>
            <w:shd w:val="clear" w:color="auto" w:fill="auto"/>
            <w:noWrap/>
            <w:hideMark/>
          </w:tcPr>
          <w:p w:rsidR="00A73E9E" w:rsidRPr="0095167C" w:rsidRDefault="00A73E9E" w:rsidP="008A7D76">
            <w:pPr>
              <w:jc w:val="left"/>
              <w:rPr>
                <w:rFonts w:ascii="Arial" w:hAnsi="Arial" w:cs="Arial"/>
                <w:sz w:val="16"/>
                <w:szCs w:val="16"/>
                <w:lang w:eastAsia="en-NZ"/>
              </w:rPr>
            </w:pPr>
            <w:r w:rsidRPr="0095167C">
              <w:rPr>
                <w:rFonts w:ascii="Arial" w:hAnsi="Arial" w:cs="Arial"/>
                <w:sz w:val="16"/>
                <w:szCs w:val="16"/>
                <w:lang w:eastAsia="en-NZ"/>
              </w:rPr>
              <w:t>Heavy fuel oil</w:t>
            </w:r>
          </w:p>
        </w:tc>
        <w:tc>
          <w:tcPr>
            <w:tcW w:w="1061" w:type="dxa"/>
            <w:tcBorders>
              <w:top w:val="nil"/>
              <w:left w:val="nil"/>
              <w:bottom w:val="single" w:sz="8" w:space="0" w:color="auto"/>
              <w:right w:val="single" w:sz="8" w:space="0" w:color="auto"/>
            </w:tcBorders>
            <w:shd w:val="clear" w:color="auto" w:fill="auto"/>
            <w:noWrap/>
            <w:hideMark/>
          </w:tcPr>
          <w:p w:rsidR="00A73E9E" w:rsidRPr="0095167C" w:rsidRDefault="00A73E9E" w:rsidP="008A7D76">
            <w:pPr>
              <w:jc w:val="left"/>
              <w:rPr>
                <w:rFonts w:ascii="Arial" w:hAnsi="Arial" w:cs="Arial"/>
                <w:sz w:val="16"/>
                <w:szCs w:val="16"/>
                <w:lang w:eastAsia="en-NZ"/>
              </w:rPr>
            </w:pPr>
            <w:r w:rsidRPr="0095167C">
              <w:rPr>
                <w:rFonts w:ascii="Arial" w:hAnsi="Arial" w:cs="Arial"/>
                <w:sz w:val="16"/>
                <w:szCs w:val="16"/>
                <w:lang w:eastAsia="en-NZ"/>
              </w:rPr>
              <w:t>Industry</w:t>
            </w:r>
          </w:p>
        </w:tc>
        <w:tc>
          <w:tcPr>
            <w:tcW w:w="560" w:type="dxa"/>
            <w:tcBorders>
              <w:top w:val="nil"/>
              <w:left w:val="nil"/>
              <w:bottom w:val="single" w:sz="8" w:space="0" w:color="auto"/>
              <w:right w:val="single" w:sz="8" w:space="0" w:color="auto"/>
            </w:tcBorders>
            <w:shd w:val="clear" w:color="auto" w:fill="auto"/>
            <w:noWrap/>
            <w:hideMark/>
          </w:tcPr>
          <w:p w:rsidR="00A73E9E" w:rsidRPr="0095167C" w:rsidRDefault="00A73E9E" w:rsidP="008A7D76">
            <w:pPr>
              <w:jc w:val="left"/>
              <w:rPr>
                <w:rFonts w:ascii="Arial" w:hAnsi="Arial" w:cs="Arial"/>
                <w:sz w:val="16"/>
                <w:szCs w:val="16"/>
                <w:lang w:eastAsia="en-NZ"/>
              </w:rPr>
            </w:pPr>
            <w:r w:rsidRPr="0095167C">
              <w:rPr>
                <w:rFonts w:ascii="Arial" w:hAnsi="Arial" w:cs="Arial"/>
                <w:sz w:val="16"/>
                <w:szCs w:val="16"/>
                <w:lang w:eastAsia="en-NZ"/>
              </w:rPr>
              <w:t>Litre</w:t>
            </w:r>
          </w:p>
        </w:tc>
        <w:tc>
          <w:tcPr>
            <w:tcW w:w="1021" w:type="dxa"/>
            <w:tcBorders>
              <w:top w:val="nil"/>
              <w:left w:val="nil"/>
              <w:bottom w:val="single" w:sz="8" w:space="0" w:color="auto"/>
              <w:right w:val="single" w:sz="8" w:space="0" w:color="auto"/>
            </w:tcBorders>
            <w:shd w:val="clear" w:color="auto" w:fill="auto"/>
            <w:noWrap/>
            <w:vAlign w:val="bottom"/>
            <w:hideMark/>
          </w:tcPr>
          <w:p w:rsidR="00A73E9E" w:rsidRPr="0095167C" w:rsidRDefault="00A73E9E" w:rsidP="008A7D76">
            <w:pPr>
              <w:jc w:val="center"/>
              <w:rPr>
                <w:rFonts w:ascii="Arial" w:hAnsi="Arial" w:cs="Arial"/>
                <w:sz w:val="16"/>
                <w:szCs w:val="16"/>
                <w:lang w:eastAsia="en-NZ"/>
              </w:rPr>
            </w:pPr>
            <w:r w:rsidRPr="00A56619">
              <w:rPr>
                <w:rFonts w:ascii="Arial" w:hAnsi="Arial" w:cs="Arial"/>
                <w:sz w:val="16"/>
                <w:szCs w:val="16"/>
              </w:rPr>
              <w:t>40.81</w:t>
            </w:r>
          </w:p>
        </w:tc>
        <w:tc>
          <w:tcPr>
            <w:tcW w:w="1469" w:type="dxa"/>
            <w:tcBorders>
              <w:top w:val="nil"/>
              <w:left w:val="nil"/>
              <w:bottom w:val="single" w:sz="8" w:space="0" w:color="auto"/>
              <w:right w:val="single" w:sz="8" w:space="0" w:color="auto"/>
            </w:tcBorders>
            <w:shd w:val="clear" w:color="auto" w:fill="auto"/>
            <w:noWrap/>
            <w:vAlign w:val="bottom"/>
            <w:hideMark/>
          </w:tcPr>
          <w:p w:rsidR="00A73E9E" w:rsidRPr="0095167C" w:rsidRDefault="00A73E9E" w:rsidP="00907AF8">
            <w:pPr>
              <w:jc w:val="right"/>
              <w:rPr>
                <w:rFonts w:ascii="Arial" w:hAnsi="Arial" w:cs="Arial"/>
                <w:sz w:val="16"/>
                <w:szCs w:val="16"/>
                <w:lang w:eastAsia="en-NZ"/>
              </w:rPr>
            </w:pPr>
            <w:r w:rsidRPr="00A56619">
              <w:rPr>
                <w:rFonts w:ascii="Arial" w:hAnsi="Arial" w:cs="Arial"/>
                <w:sz w:val="16"/>
                <w:szCs w:val="16"/>
              </w:rPr>
              <w:t>73.72</w:t>
            </w:r>
          </w:p>
        </w:tc>
        <w:tc>
          <w:tcPr>
            <w:tcW w:w="1467" w:type="dxa"/>
            <w:tcBorders>
              <w:top w:val="nil"/>
              <w:left w:val="nil"/>
              <w:bottom w:val="single" w:sz="8" w:space="0" w:color="auto"/>
              <w:right w:val="single" w:sz="8" w:space="0" w:color="auto"/>
            </w:tcBorders>
            <w:shd w:val="clear" w:color="auto" w:fill="auto"/>
            <w:noWrap/>
            <w:vAlign w:val="bottom"/>
            <w:hideMark/>
          </w:tcPr>
          <w:p w:rsidR="00A73E9E" w:rsidRPr="0095167C" w:rsidRDefault="00A73E9E" w:rsidP="007F2CFF">
            <w:pPr>
              <w:jc w:val="right"/>
              <w:rPr>
                <w:rFonts w:ascii="Arial" w:hAnsi="Arial" w:cs="Arial"/>
                <w:sz w:val="16"/>
                <w:szCs w:val="16"/>
                <w:lang w:eastAsia="en-NZ"/>
              </w:rPr>
            </w:pPr>
            <w:r w:rsidRPr="00A56619">
              <w:rPr>
                <w:rFonts w:ascii="Arial" w:hAnsi="Arial" w:cs="Arial"/>
                <w:sz w:val="16"/>
                <w:szCs w:val="16"/>
              </w:rPr>
              <w:t>0.00285</w:t>
            </w:r>
          </w:p>
        </w:tc>
        <w:tc>
          <w:tcPr>
            <w:tcW w:w="1565" w:type="dxa"/>
            <w:tcBorders>
              <w:top w:val="nil"/>
              <w:left w:val="nil"/>
              <w:bottom w:val="single" w:sz="8" w:space="0" w:color="auto"/>
              <w:right w:val="single" w:sz="8" w:space="0" w:color="auto"/>
            </w:tcBorders>
            <w:shd w:val="clear" w:color="auto" w:fill="auto"/>
            <w:noWrap/>
            <w:vAlign w:val="bottom"/>
            <w:hideMark/>
          </w:tcPr>
          <w:p w:rsidR="00A73E9E" w:rsidRPr="0095167C" w:rsidRDefault="00A73E9E" w:rsidP="007F2CFF">
            <w:pPr>
              <w:jc w:val="right"/>
              <w:rPr>
                <w:rFonts w:ascii="Arial" w:hAnsi="Arial" w:cs="Arial"/>
                <w:sz w:val="16"/>
                <w:szCs w:val="16"/>
                <w:lang w:eastAsia="en-NZ"/>
              </w:rPr>
            </w:pPr>
            <w:r w:rsidRPr="00A56619">
              <w:rPr>
                <w:rFonts w:ascii="Arial" w:hAnsi="Arial" w:cs="Arial"/>
                <w:sz w:val="16"/>
                <w:szCs w:val="16"/>
              </w:rPr>
              <w:t>0.000285</w:t>
            </w:r>
          </w:p>
        </w:tc>
      </w:tr>
      <w:tr w:rsidR="00B514B3" w:rsidRPr="0095167C" w:rsidTr="00680FA7">
        <w:trPr>
          <w:cantSplit/>
          <w:trHeight w:val="276"/>
        </w:trPr>
        <w:tc>
          <w:tcPr>
            <w:tcW w:w="1479" w:type="dxa"/>
            <w:tcBorders>
              <w:top w:val="nil"/>
              <w:left w:val="single" w:sz="8" w:space="0" w:color="auto"/>
              <w:bottom w:val="single" w:sz="8" w:space="0" w:color="auto"/>
              <w:right w:val="single" w:sz="8" w:space="0" w:color="auto"/>
            </w:tcBorders>
            <w:shd w:val="clear" w:color="auto" w:fill="auto"/>
            <w:noWrap/>
            <w:hideMark/>
          </w:tcPr>
          <w:p w:rsidR="00A73E9E" w:rsidRPr="0095167C" w:rsidRDefault="00A73E9E" w:rsidP="008A7D76">
            <w:pPr>
              <w:jc w:val="left"/>
              <w:rPr>
                <w:rFonts w:ascii="Arial" w:hAnsi="Arial" w:cs="Arial"/>
                <w:sz w:val="16"/>
                <w:szCs w:val="16"/>
                <w:lang w:eastAsia="en-NZ"/>
              </w:rPr>
            </w:pPr>
            <w:r w:rsidRPr="0095167C">
              <w:rPr>
                <w:rFonts w:ascii="Arial" w:hAnsi="Arial" w:cs="Arial"/>
                <w:sz w:val="16"/>
                <w:szCs w:val="16"/>
                <w:lang w:eastAsia="en-NZ"/>
              </w:rPr>
              <w:t>Light fuel oil</w:t>
            </w:r>
          </w:p>
        </w:tc>
        <w:tc>
          <w:tcPr>
            <w:tcW w:w="1061" w:type="dxa"/>
            <w:tcBorders>
              <w:top w:val="nil"/>
              <w:left w:val="nil"/>
              <w:bottom w:val="single" w:sz="8" w:space="0" w:color="auto"/>
              <w:right w:val="single" w:sz="8" w:space="0" w:color="auto"/>
            </w:tcBorders>
            <w:shd w:val="clear" w:color="auto" w:fill="auto"/>
            <w:noWrap/>
            <w:hideMark/>
          </w:tcPr>
          <w:p w:rsidR="00A73E9E" w:rsidRPr="0095167C" w:rsidRDefault="00A73E9E" w:rsidP="008A7D76">
            <w:pPr>
              <w:jc w:val="left"/>
              <w:rPr>
                <w:rFonts w:ascii="Arial" w:hAnsi="Arial" w:cs="Arial"/>
                <w:sz w:val="16"/>
                <w:szCs w:val="16"/>
                <w:lang w:eastAsia="en-NZ"/>
              </w:rPr>
            </w:pPr>
            <w:r w:rsidRPr="0095167C">
              <w:rPr>
                <w:rFonts w:ascii="Arial" w:hAnsi="Arial" w:cs="Arial"/>
                <w:sz w:val="16"/>
                <w:szCs w:val="16"/>
                <w:lang w:eastAsia="en-NZ"/>
              </w:rPr>
              <w:t>Industry</w:t>
            </w:r>
          </w:p>
        </w:tc>
        <w:tc>
          <w:tcPr>
            <w:tcW w:w="560" w:type="dxa"/>
            <w:tcBorders>
              <w:top w:val="nil"/>
              <w:left w:val="nil"/>
              <w:bottom w:val="single" w:sz="8" w:space="0" w:color="auto"/>
              <w:right w:val="single" w:sz="8" w:space="0" w:color="auto"/>
            </w:tcBorders>
            <w:shd w:val="clear" w:color="auto" w:fill="auto"/>
            <w:noWrap/>
            <w:hideMark/>
          </w:tcPr>
          <w:p w:rsidR="00A73E9E" w:rsidRPr="0095167C" w:rsidRDefault="00A73E9E" w:rsidP="008A7D76">
            <w:pPr>
              <w:jc w:val="left"/>
              <w:rPr>
                <w:rFonts w:ascii="Arial" w:hAnsi="Arial" w:cs="Arial"/>
                <w:sz w:val="16"/>
                <w:szCs w:val="16"/>
                <w:lang w:eastAsia="en-NZ"/>
              </w:rPr>
            </w:pPr>
            <w:r w:rsidRPr="0095167C">
              <w:rPr>
                <w:rFonts w:ascii="Arial" w:hAnsi="Arial" w:cs="Arial"/>
                <w:sz w:val="16"/>
                <w:szCs w:val="16"/>
                <w:lang w:eastAsia="en-NZ"/>
              </w:rPr>
              <w:t>Litre</w:t>
            </w:r>
          </w:p>
        </w:tc>
        <w:tc>
          <w:tcPr>
            <w:tcW w:w="1021" w:type="dxa"/>
            <w:tcBorders>
              <w:top w:val="nil"/>
              <w:left w:val="nil"/>
              <w:bottom w:val="single" w:sz="8" w:space="0" w:color="auto"/>
              <w:right w:val="single" w:sz="8" w:space="0" w:color="auto"/>
            </w:tcBorders>
            <w:shd w:val="clear" w:color="auto" w:fill="auto"/>
            <w:noWrap/>
            <w:vAlign w:val="bottom"/>
            <w:hideMark/>
          </w:tcPr>
          <w:p w:rsidR="00A73E9E" w:rsidRPr="0095167C" w:rsidRDefault="00A73E9E" w:rsidP="00907AF8">
            <w:pPr>
              <w:jc w:val="center"/>
              <w:rPr>
                <w:rFonts w:ascii="Arial" w:hAnsi="Arial" w:cs="Arial"/>
                <w:sz w:val="16"/>
                <w:szCs w:val="16"/>
                <w:lang w:eastAsia="en-NZ"/>
              </w:rPr>
            </w:pPr>
            <w:r w:rsidRPr="00A56619">
              <w:rPr>
                <w:rFonts w:ascii="Arial" w:hAnsi="Arial" w:cs="Arial"/>
                <w:sz w:val="16"/>
                <w:szCs w:val="16"/>
              </w:rPr>
              <w:t>40.44</w:t>
            </w:r>
          </w:p>
        </w:tc>
        <w:tc>
          <w:tcPr>
            <w:tcW w:w="1469" w:type="dxa"/>
            <w:tcBorders>
              <w:top w:val="nil"/>
              <w:left w:val="nil"/>
              <w:bottom w:val="single" w:sz="8" w:space="0" w:color="auto"/>
              <w:right w:val="single" w:sz="8" w:space="0" w:color="auto"/>
            </w:tcBorders>
            <w:shd w:val="clear" w:color="auto" w:fill="auto"/>
            <w:noWrap/>
            <w:vAlign w:val="bottom"/>
            <w:hideMark/>
          </w:tcPr>
          <w:p w:rsidR="00A73E9E" w:rsidRPr="0095167C" w:rsidRDefault="00A73E9E" w:rsidP="007F2CFF">
            <w:pPr>
              <w:jc w:val="right"/>
              <w:rPr>
                <w:rFonts w:ascii="Arial" w:hAnsi="Arial" w:cs="Arial"/>
                <w:sz w:val="16"/>
                <w:szCs w:val="16"/>
                <w:lang w:eastAsia="en-NZ"/>
              </w:rPr>
            </w:pPr>
            <w:r w:rsidRPr="00A56619">
              <w:rPr>
                <w:rFonts w:ascii="Arial" w:hAnsi="Arial" w:cs="Arial"/>
                <w:sz w:val="16"/>
                <w:szCs w:val="16"/>
              </w:rPr>
              <w:t>72.84</w:t>
            </w:r>
          </w:p>
        </w:tc>
        <w:tc>
          <w:tcPr>
            <w:tcW w:w="1467" w:type="dxa"/>
            <w:tcBorders>
              <w:top w:val="nil"/>
              <w:left w:val="nil"/>
              <w:bottom w:val="single" w:sz="8" w:space="0" w:color="auto"/>
              <w:right w:val="single" w:sz="8" w:space="0" w:color="auto"/>
            </w:tcBorders>
            <w:shd w:val="clear" w:color="auto" w:fill="auto"/>
            <w:noWrap/>
            <w:vAlign w:val="bottom"/>
            <w:hideMark/>
          </w:tcPr>
          <w:p w:rsidR="00A73E9E" w:rsidRPr="0095167C" w:rsidRDefault="00A73E9E" w:rsidP="007F2CFF">
            <w:pPr>
              <w:jc w:val="right"/>
              <w:rPr>
                <w:rFonts w:ascii="Arial" w:hAnsi="Arial" w:cs="Arial"/>
                <w:sz w:val="16"/>
                <w:szCs w:val="16"/>
                <w:lang w:eastAsia="en-NZ"/>
              </w:rPr>
            </w:pPr>
            <w:r w:rsidRPr="00A56619">
              <w:rPr>
                <w:rFonts w:ascii="Arial" w:hAnsi="Arial" w:cs="Arial"/>
                <w:sz w:val="16"/>
                <w:szCs w:val="16"/>
              </w:rPr>
              <w:t>0.00285</w:t>
            </w:r>
          </w:p>
        </w:tc>
        <w:tc>
          <w:tcPr>
            <w:tcW w:w="1565" w:type="dxa"/>
            <w:tcBorders>
              <w:top w:val="nil"/>
              <w:left w:val="nil"/>
              <w:bottom w:val="single" w:sz="8" w:space="0" w:color="auto"/>
              <w:right w:val="single" w:sz="8" w:space="0" w:color="auto"/>
            </w:tcBorders>
            <w:shd w:val="clear" w:color="auto" w:fill="auto"/>
            <w:noWrap/>
            <w:vAlign w:val="bottom"/>
            <w:hideMark/>
          </w:tcPr>
          <w:p w:rsidR="00A73E9E" w:rsidRPr="0095167C" w:rsidRDefault="00A73E9E" w:rsidP="007F2CFF">
            <w:pPr>
              <w:jc w:val="right"/>
              <w:rPr>
                <w:rFonts w:ascii="Arial" w:hAnsi="Arial" w:cs="Arial"/>
                <w:sz w:val="16"/>
                <w:szCs w:val="16"/>
                <w:lang w:eastAsia="en-NZ"/>
              </w:rPr>
            </w:pPr>
            <w:r w:rsidRPr="00A56619">
              <w:rPr>
                <w:rFonts w:ascii="Arial" w:hAnsi="Arial" w:cs="Arial"/>
                <w:sz w:val="16"/>
                <w:szCs w:val="16"/>
              </w:rPr>
              <w:t>0.000285</w:t>
            </w:r>
          </w:p>
        </w:tc>
      </w:tr>
      <w:tr w:rsidR="00B514B3" w:rsidRPr="0095167C" w:rsidTr="00680FA7">
        <w:trPr>
          <w:cantSplit/>
          <w:trHeight w:val="276"/>
        </w:trPr>
        <w:tc>
          <w:tcPr>
            <w:tcW w:w="1479" w:type="dxa"/>
            <w:tcBorders>
              <w:top w:val="nil"/>
              <w:left w:val="single" w:sz="8" w:space="0" w:color="auto"/>
              <w:bottom w:val="single" w:sz="8" w:space="0" w:color="auto"/>
              <w:right w:val="single" w:sz="8" w:space="0" w:color="auto"/>
            </w:tcBorders>
            <w:shd w:val="clear" w:color="auto" w:fill="auto"/>
            <w:noWrap/>
            <w:hideMark/>
          </w:tcPr>
          <w:p w:rsidR="00A73E9E" w:rsidRPr="0095167C" w:rsidRDefault="00A73E9E" w:rsidP="008A7D76">
            <w:pPr>
              <w:jc w:val="left"/>
              <w:rPr>
                <w:rFonts w:ascii="Arial" w:hAnsi="Arial" w:cs="Arial"/>
                <w:sz w:val="16"/>
                <w:szCs w:val="16"/>
                <w:lang w:eastAsia="en-NZ"/>
              </w:rPr>
            </w:pPr>
            <w:r w:rsidRPr="0095167C">
              <w:rPr>
                <w:rFonts w:ascii="Arial" w:hAnsi="Arial" w:cs="Arial"/>
                <w:sz w:val="16"/>
                <w:szCs w:val="16"/>
                <w:lang w:eastAsia="en-NZ"/>
              </w:rPr>
              <w:t>Wood</w:t>
            </w:r>
          </w:p>
        </w:tc>
        <w:tc>
          <w:tcPr>
            <w:tcW w:w="1061" w:type="dxa"/>
            <w:tcBorders>
              <w:top w:val="nil"/>
              <w:left w:val="nil"/>
              <w:bottom w:val="single" w:sz="8" w:space="0" w:color="auto"/>
              <w:right w:val="single" w:sz="8" w:space="0" w:color="auto"/>
            </w:tcBorders>
            <w:shd w:val="clear" w:color="auto" w:fill="auto"/>
            <w:noWrap/>
            <w:hideMark/>
          </w:tcPr>
          <w:p w:rsidR="00A73E9E" w:rsidRPr="0095167C" w:rsidRDefault="00A73E9E" w:rsidP="008A7D76">
            <w:pPr>
              <w:jc w:val="left"/>
              <w:rPr>
                <w:rFonts w:ascii="Arial" w:hAnsi="Arial" w:cs="Arial"/>
                <w:sz w:val="16"/>
                <w:szCs w:val="16"/>
                <w:lang w:eastAsia="en-NZ"/>
              </w:rPr>
            </w:pPr>
            <w:r w:rsidRPr="0095167C">
              <w:rPr>
                <w:rFonts w:ascii="Arial" w:hAnsi="Arial" w:cs="Arial"/>
                <w:sz w:val="16"/>
                <w:szCs w:val="16"/>
                <w:lang w:eastAsia="en-NZ"/>
              </w:rPr>
              <w:t>Industry</w:t>
            </w:r>
          </w:p>
        </w:tc>
        <w:tc>
          <w:tcPr>
            <w:tcW w:w="560" w:type="dxa"/>
            <w:tcBorders>
              <w:top w:val="nil"/>
              <w:left w:val="nil"/>
              <w:bottom w:val="single" w:sz="8" w:space="0" w:color="auto"/>
              <w:right w:val="single" w:sz="8" w:space="0" w:color="auto"/>
            </w:tcBorders>
            <w:shd w:val="clear" w:color="auto" w:fill="auto"/>
            <w:noWrap/>
            <w:hideMark/>
          </w:tcPr>
          <w:p w:rsidR="00A73E9E" w:rsidRPr="0095167C" w:rsidRDefault="00A73E9E" w:rsidP="008A7D76">
            <w:pPr>
              <w:jc w:val="left"/>
              <w:rPr>
                <w:rFonts w:ascii="Arial" w:hAnsi="Arial" w:cs="Arial"/>
                <w:sz w:val="16"/>
                <w:szCs w:val="16"/>
                <w:lang w:eastAsia="en-NZ"/>
              </w:rPr>
            </w:pPr>
            <w:r w:rsidRPr="0095167C">
              <w:rPr>
                <w:rFonts w:ascii="Arial" w:hAnsi="Arial" w:cs="Arial"/>
                <w:sz w:val="16"/>
                <w:szCs w:val="16"/>
                <w:lang w:eastAsia="en-NZ"/>
              </w:rPr>
              <w:t>Kg</w:t>
            </w:r>
          </w:p>
        </w:tc>
        <w:tc>
          <w:tcPr>
            <w:tcW w:w="1021" w:type="dxa"/>
            <w:tcBorders>
              <w:top w:val="nil"/>
              <w:left w:val="nil"/>
              <w:bottom w:val="single" w:sz="8" w:space="0" w:color="auto"/>
              <w:right w:val="single" w:sz="8" w:space="0" w:color="auto"/>
            </w:tcBorders>
            <w:shd w:val="clear" w:color="auto" w:fill="auto"/>
            <w:noWrap/>
            <w:vAlign w:val="bottom"/>
            <w:hideMark/>
          </w:tcPr>
          <w:p w:rsidR="00A73E9E" w:rsidRPr="0095167C" w:rsidRDefault="00A73E9E" w:rsidP="008A7D76">
            <w:pPr>
              <w:jc w:val="center"/>
              <w:rPr>
                <w:rFonts w:ascii="Arial" w:hAnsi="Arial" w:cs="Arial"/>
                <w:sz w:val="16"/>
                <w:szCs w:val="16"/>
                <w:lang w:eastAsia="en-NZ"/>
              </w:rPr>
            </w:pPr>
            <w:r w:rsidRPr="00A56619">
              <w:rPr>
                <w:rFonts w:ascii="Arial" w:hAnsi="Arial" w:cs="Arial"/>
                <w:sz w:val="16"/>
                <w:szCs w:val="16"/>
              </w:rPr>
              <w:t>9.63</w:t>
            </w:r>
          </w:p>
        </w:tc>
        <w:tc>
          <w:tcPr>
            <w:tcW w:w="1469" w:type="dxa"/>
            <w:tcBorders>
              <w:top w:val="nil"/>
              <w:left w:val="nil"/>
              <w:bottom w:val="single" w:sz="8" w:space="0" w:color="auto"/>
              <w:right w:val="single" w:sz="8" w:space="0" w:color="auto"/>
            </w:tcBorders>
            <w:shd w:val="clear" w:color="auto" w:fill="auto"/>
            <w:noWrap/>
            <w:vAlign w:val="bottom"/>
            <w:hideMark/>
          </w:tcPr>
          <w:p w:rsidR="00A73E9E" w:rsidRPr="0095167C" w:rsidRDefault="00A73E9E" w:rsidP="007F2CFF">
            <w:pPr>
              <w:jc w:val="right"/>
              <w:rPr>
                <w:rFonts w:ascii="Arial" w:hAnsi="Arial" w:cs="Arial"/>
                <w:sz w:val="16"/>
                <w:szCs w:val="16"/>
                <w:lang w:eastAsia="en-NZ"/>
              </w:rPr>
            </w:pPr>
            <w:r w:rsidRPr="00A56619">
              <w:rPr>
                <w:rFonts w:ascii="Arial" w:hAnsi="Arial" w:cs="Arial"/>
                <w:sz w:val="16"/>
                <w:szCs w:val="16"/>
              </w:rPr>
              <w:t>104.15</w:t>
            </w:r>
          </w:p>
        </w:tc>
        <w:tc>
          <w:tcPr>
            <w:tcW w:w="1467" w:type="dxa"/>
            <w:tcBorders>
              <w:top w:val="nil"/>
              <w:left w:val="nil"/>
              <w:bottom w:val="single" w:sz="8" w:space="0" w:color="auto"/>
              <w:right w:val="single" w:sz="8" w:space="0" w:color="auto"/>
            </w:tcBorders>
            <w:shd w:val="clear" w:color="auto" w:fill="auto"/>
            <w:noWrap/>
            <w:vAlign w:val="bottom"/>
            <w:hideMark/>
          </w:tcPr>
          <w:p w:rsidR="00A73E9E" w:rsidRPr="0095167C" w:rsidRDefault="0080130C" w:rsidP="007F2CFF">
            <w:pPr>
              <w:jc w:val="right"/>
              <w:rPr>
                <w:rFonts w:ascii="Arial" w:hAnsi="Arial" w:cs="Arial"/>
                <w:sz w:val="16"/>
                <w:szCs w:val="16"/>
                <w:lang w:eastAsia="en-NZ"/>
              </w:rPr>
            </w:pPr>
            <w:r>
              <w:rPr>
                <w:rFonts w:ascii="Arial" w:hAnsi="Arial" w:cs="Arial"/>
                <w:sz w:val="16"/>
                <w:szCs w:val="16"/>
              </w:rPr>
              <w:t>0.024</w:t>
            </w:r>
          </w:p>
        </w:tc>
        <w:tc>
          <w:tcPr>
            <w:tcW w:w="1565" w:type="dxa"/>
            <w:tcBorders>
              <w:top w:val="nil"/>
              <w:left w:val="nil"/>
              <w:bottom w:val="single" w:sz="8" w:space="0" w:color="auto"/>
              <w:right w:val="single" w:sz="8" w:space="0" w:color="auto"/>
            </w:tcBorders>
            <w:shd w:val="clear" w:color="auto" w:fill="auto"/>
            <w:noWrap/>
            <w:vAlign w:val="bottom"/>
            <w:hideMark/>
          </w:tcPr>
          <w:p w:rsidR="00A73E9E" w:rsidRPr="0095167C" w:rsidRDefault="0080130C" w:rsidP="007F2CFF">
            <w:pPr>
              <w:jc w:val="right"/>
              <w:rPr>
                <w:rFonts w:ascii="Arial" w:hAnsi="Arial" w:cs="Arial"/>
                <w:sz w:val="16"/>
                <w:szCs w:val="16"/>
                <w:lang w:eastAsia="en-NZ"/>
              </w:rPr>
            </w:pPr>
            <w:r>
              <w:rPr>
                <w:rFonts w:ascii="Arial" w:hAnsi="Arial" w:cs="Arial"/>
                <w:sz w:val="16"/>
                <w:szCs w:val="16"/>
              </w:rPr>
              <w:t>0.0032</w:t>
            </w:r>
          </w:p>
        </w:tc>
      </w:tr>
      <w:tr w:rsidR="00B514B3" w:rsidRPr="0095167C" w:rsidTr="00680FA7">
        <w:trPr>
          <w:cantSplit/>
          <w:trHeight w:val="276"/>
        </w:trPr>
        <w:tc>
          <w:tcPr>
            <w:tcW w:w="1479" w:type="dxa"/>
            <w:tcBorders>
              <w:top w:val="nil"/>
              <w:left w:val="single" w:sz="8" w:space="0" w:color="auto"/>
              <w:bottom w:val="single" w:sz="8" w:space="0" w:color="auto"/>
              <w:right w:val="single" w:sz="8" w:space="0" w:color="auto"/>
            </w:tcBorders>
            <w:shd w:val="clear" w:color="auto" w:fill="auto"/>
            <w:noWrap/>
            <w:hideMark/>
          </w:tcPr>
          <w:p w:rsidR="00A73E9E" w:rsidRPr="0095167C" w:rsidRDefault="00A73E9E" w:rsidP="008A7D76">
            <w:pPr>
              <w:jc w:val="left"/>
              <w:rPr>
                <w:rFonts w:ascii="Arial" w:hAnsi="Arial" w:cs="Arial"/>
                <w:sz w:val="16"/>
                <w:szCs w:val="16"/>
                <w:lang w:eastAsia="en-NZ"/>
              </w:rPr>
            </w:pPr>
            <w:r w:rsidRPr="0095167C">
              <w:rPr>
                <w:rFonts w:ascii="Arial" w:hAnsi="Arial" w:cs="Arial"/>
                <w:sz w:val="16"/>
                <w:szCs w:val="16"/>
                <w:lang w:eastAsia="en-NZ"/>
              </w:rPr>
              <w:t>Wood</w:t>
            </w:r>
          </w:p>
        </w:tc>
        <w:tc>
          <w:tcPr>
            <w:tcW w:w="1061" w:type="dxa"/>
            <w:tcBorders>
              <w:top w:val="nil"/>
              <w:left w:val="nil"/>
              <w:bottom w:val="single" w:sz="8" w:space="0" w:color="auto"/>
              <w:right w:val="single" w:sz="8" w:space="0" w:color="auto"/>
            </w:tcBorders>
            <w:shd w:val="clear" w:color="auto" w:fill="auto"/>
            <w:noWrap/>
            <w:hideMark/>
          </w:tcPr>
          <w:p w:rsidR="00A73E9E" w:rsidRPr="0095167C" w:rsidRDefault="00A73E9E" w:rsidP="008A7D76">
            <w:pPr>
              <w:jc w:val="left"/>
              <w:rPr>
                <w:rFonts w:ascii="Arial" w:hAnsi="Arial" w:cs="Arial"/>
                <w:sz w:val="16"/>
                <w:szCs w:val="16"/>
                <w:lang w:eastAsia="en-NZ"/>
              </w:rPr>
            </w:pPr>
            <w:r w:rsidRPr="0095167C">
              <w:rPr>
                <w:rFonts w:ascii="Arial" w:hAnsi="Arial" w:cs="Arial"/>
                <w:sz w:val="16"/>
                <w:szCs w:val="16"/>
                <w:lang w:eastAsia="en-NZ"/>
              </w:rPr>
              <w:t>Fireplaces*</w:t>
            </w:r>
          </w:p>
        </w:tc>
        <w:tc>
          <w:tcPr>
            <w:tcW w:w="560" w:type="dxa"/>
            <w:tcBorders>
              <w:top w:val="nil"/>
              <w:left w:val="nil"/>
              <w:bottom w:val="single" w:sz="8" w:space="0" w:color="auto"/>
              <w:right w:val="single" w:sz="8" w:space="0" w:color="auto"/>
            </w:tcBorders>
            <w:shd w:val="clear" w:color="auto" w:fill="auto"/>
            <w:noWrap/>
            <w:hideMark/>
          </w:tcPr>
          <w:p w:rsidR="00A73E9E" w:rsidRPr="0095167C" w:rsidRDefault="00A73E9E" w:rsidP="008A7D76">
            <w:pPr>
              <w:jc w:val="left"/>
              <w:rPr>
                <w:rFonts w:ascii="Arial" w:hAnsi="Arial" w:cs="Arial"/>
                <w:sz w:val="16"/>
                <w:szCs w:val="16"/>
                <w:lang w:eastAsia="en-NZ"/>
              </w:rPr>
            </w:pPr>
            <w:r w:rsidRPr="0095167C">
              <w:rPr>
                <w:rFonts w:ascii="Arial" w:hAnsi="Arial" w:cs="Arial"/>
                <w:sz w:val="16"/>
                <w:szCs w:val="16"/>
                <w:lang w:eastAsia="en-NZ"/>
              </w:rPr>
              <w:t>Kg</w:t>
            </w:r>
          </w:p>
        </w:tc>
        <w:tc>
          <w:tcPr>
            <w:tcW w:w="1021" w:type="dxa"/>
            <w:tcBorders>
              <w:top w:val="nil"/>
              <w:left w:val="nil"/>
              <w:bottom w:val="single" w:sz="8" w:space="0" w:color="auto"/>
              <w:right w:val="single" w:sz="8" w:space="0" w:color="auto"/>
            </w:tcBorders>
            <w:shd w:val="clear" w:color="auto" w:fill="auto"/>
            <w:noWrap/>
            <w:vAlign w:val="bottom"/>
            <w:hideMark/>
          </w:tcPr>
          <w:p w:rsidR="00A73E9E" w:rsidRPr="0095167C" w:rsidRDefault="00A73E9E" w:rsidP="008A7D76">
            <w:pPr>
              <w:jc w:val="center"/>
              <w:rPr>
                <w:rFonts w:ascii="Arial" w:hAnsi="Arial" w:cs="Arial"/>
                <w:sz w:val="16"/>
                <w:szCs w:val="16"/>
                <w:lang w:eastAsia="en-NZ"/>
              </w:rPr>
            </w:pPr>
            <w:r w:rsidRPr="00A56619">
              <w:rPr>
                <w:rFonts w:ascii="Arial" w:hAnsi="Arial" w:cs="Arial"/>
                <w:sz w:val="16"/>
                <w:szCs w:val="16"/>
              </w:rPr>
              <w:t>9.63</w:t>
            </w:r>
          </w:p>
        </w:tc>
        <w:tc>
          <w:tcPr>
            <w:tcW w:w="1469" w:type="dxa"/>
            <w:tcBorders>
              <w:top w:val="nil"/>
              <w:left w:val="nil"/>
              <w:bottom w:val="single" w:sz="8" w:space="0" w:color="auto"/>
              <w:right w:val="single" w:sz="8" w:space="0" w:color="auto"/>
            </w:tcBorders>
            <w:shd w:val="clear" w:color="auto" w:fill="auto"/>
            <w:noWrap/>
            <w:vAlign w:val="bottom"/>
            <w:hideMark/>
          </w:tcPr>
          <w:p w:rsidR="00A73E9E" w:rsidRPr="0095167C" w:rsidRDefault="00A73E9E" w:rsidP="007F2CFF">
            <w:pPr>
              <w:jc w:val="right"/>
              <w:rPr>
                <w:rFonts w:ascii="Arial" w:hAnsi="Arial" w:cs="Arial"/>
                <w:sz w:val="16"/>
                <w:szCs w:val="16"/>
                <w:lang w:eastAsia="en-NZ"/>
              </w:rPr>
            </w:pPr>
            <w:r w:rsidRPr="00A56619">
              <w:rPr>
                <w:rFonts w:ascii="Arial" w:hAnsi="Arial" w:cs="Arial"/>
                <w:sz w:val="16"/>
                <w:szCs w:val="16"/>
              </w:rPr>
              <w:t>104.15</w:t>
            </w:r>
          </w:p>
        </w:tc>
        <w:tc>
          <w:tcPr>
            <w:tcW w:w="1467" w:type="dxa"/>
            <w:tcBorders>
              <w:top w:val="nil"/>
              <w:left w:val="nil"/>
              <w:bottom w:val="single" w:sz="8" w:space="0" w:color="auto"/>
              <w:right w:val="single" w:sz="8" w:space="0" w:color="auto"/>
            </w:tcBorders>
            <w:shd w:val="clear" w:color="auto" w:fill="auto"/>
            <w:noWrap/>
            <w:vAlign w:val="bottom"/>
            <w:hideMark/>
          </w:tcPr>
          <w:p w:rsidR="00A73E9E" w:rsidRPr="0095167C" w:rsidRDefault="0080130C" w:rsidP="007F2CFF">
            <w:pPr>
              <w:jc w:val="right"/>
              <w:rPr>
                <w:rFonts w:ascii="Arial" w:hAnsi="Arial" w:cs="Arial"/>
                <w:sz w:val="16"/>
                <w:szCs w:val="16"/>
                <w:lang w:eastAsia="en-NZ"/>
              </w:rPr>
            </w:pPr>
            <w:r>
              <w:rPr>
                <w:rFonts w:ascii="Arial" w:hAnsi="Arial" w:cs="Arial"/>
                <w:sz w:val="16"/>
                <w:szCs w:val="16"/>
              </w:rPr>
              <w:t>0.24</w:t>
            </w:r>
          </w:p>
        </w:tc>
        <w:tc>
          <w:tcPr>
            <w:tcW w:w="1565" w:type="dxa"/>
            <w:tcBorders>
              <w:top w:val="nil"/>
              <w:left w:val="nil"/>
              <w:bottom w:val="single" w:sz="8" w:space="0" w:color="auto"/>
              <w:right w:val="single" w:sz="8" w:space="0" w:color="auto"/>
            </w:tcBorders>
            <w:shd w:val="clear" w:color="auto" w:fill="auto"/>
            <w:noWrap/>
            <w:vAlign w:val="bottom"/>
            <w:hideMark/>
          </w:tcPr>
          <w:p w:rsidR="00A73E9E" w:rsidRPr="0095167C" w:rsidRDefault="0080130C" w:rsidP="007F2CFF">
            <w:pPr>
              <w:jc w:val="right"/>
              <w:rPr>
                <w:rFonts w:ascii="Arial" w:hAnsi="Arial" w:cs="Arial"/>
                <w:sz w:val="16"/>
                <w:szCs w:val="16"/>
                <w:lang w:eastAsia="en-NZ"/>
              </w:rPr>
            </w:pPr>
            <w:r>
              <w:rPr>
                <w:rFonts w:ascii="Arial" w:hAnsi="Arial" w:cs="Arial"/>
                <w:sz w:val="16"/>
                <w:szCs w:val="16"/>
              </w:rPr>
              <w:t>0.0032</w:t>
            </w:r>
          </w:p>
        </w:tc>
      </w:tr>
      <w:tr w:rsidR="00B514B3" w:rsidRPr="0095167C" w:rsidTr="00680FA7">
        <w:trPr>
          <w:cantSplit/>
          <w:trHeight w:val="276"/>
        </w:trPr>
        <w:tc>
          <w:tcPr>
            <w:tcW w:w="1479" w:type="dxa"/>
            <w:tcBorders>
              <w:top w:val="nil"/>
              <w:left w:val="single" w:sz="8" w:space="0" w:color="auto"/>
              <w:bottom w:val="single" w:sz="8" w:space="0" w:color="auto"/>
              <w:right w:val="single" w:sz="8" w:space="0" w:color="auto"/>
            </w:tcBorders>
            <w:shd w:val="clear" w:color="auto" w:fill="auto"/>
            <w:noWrap/>
            <w:hideMark/>
          </w:tcPr>
          <w:p w:rsidR="00A73E9E" w:rsidRPr="0095167C" w:rsidRDefault="00A73E9E" w:rsidP="008A7D76">
            <w:pPr>
              <w:jc w:val="left"/>
              <w:rPr>
                <w:rFonts w:ascii="Arial" w:hAnsi="Arial" w:cs="Arial"/>
                <w:b/>
                <w:bCs/>
                <w:sz w:val="16"/>
                <w:szCs w:val="16"/>
                <w:lang w:eastAsia="en-NZ"/>
              </w:rPr>
            </w:pPr>
            <w:r w:rsidRPr="0095167C">
              <w:rPr>
                <w:rFonts w:ascii="Arial" w:hAnsi="Arial" w:cs="Arial"/>
                <w:b/>
                <w:bCs/>
                <w:sz w:val="16"/>
                <w:szCs w:val="16"/>
                <w:lang w:eastAsia="en-NZ"/>
              </w:rPr>
              <w:t>Transport fuels</w:t>
            </w:r>
          </w:p>
        </w:tc>
        <w:tc>
          <w:tcPr>
            <w:tcW w:w="1061" w:type="dxa"/>
            <w:tcBorders>
              <w:top w:val="nil"/>
              <w:left w:val="nil"/>
              <w:bottom w:val="single" w:sz="8" w:space="0" w:color="auto"/>
              <w:right w:val="single" w:sz="8" w:space="0" w:color="auto"/>
            </w:tcBorders>
            <w:shd w:val="clear" w:color="auto" w:fill="auto"/>
            <w:noWrap/>
            <w:hideMark/>
          </w:tcPr>
          <w:p w:rsidR="00A73E9E" w:rsidRPr="0095167C" w:rsidRDefault="00A73E9E" w:rsidP="008A7D76">
            <w:pPr>
              <w:jc w:val="left"/>
              <w:rPr>
                <w:rFonts w:ascii="Arial" w:hAnsi="Arial" w:cs="Arial"/>
                <w:b/>
                <w:bCs/>
                <w:sz w:val="16"/>
                <w:szCs w:val="16"/>
                <w:lang w:eastAsia="en-NZ"/>
              </w:rPr>
            </w:pPr>
            <w:r w:rsidRPr="0095167C">
              <w:rPr>
                <w:rFonts w:ascii="Arial" w:hAnsi="Arial" w:cs="Arial"/>
                <w:b/>
                <w:bCs/>
                <w:sz w:val="16"/>
                <w:szCs w:val="16"/>
                <w:lang w:eastAsia="en-NZ"/>
              </w:rPr>
              <w:t> </w:t>
            </w:r>
          </w:p>
        </w:tc>
        <w:tc>
          <w:tcPr>
            <w:tcW w:w="560" w:type="dxa"/>
            <w:tcBorders>
              <w:top w:val="nil"/>
              <w:left w:val="nil"/>
              <w:bottom w:val="single" w:sz="8" w:space="0" w:color="auto"/>
              <w:right w:val="single" w:sz="8" w:space="0" w:color="auto"/>
            </w:tcBorders>
            <w:shd w:val="clear" w:color="auto" w:fill="auto"/>
            <w:noWrap/>
            <w:hideMark/>
          </w:tcPr>
          <w:p w:rsidR="00A73E9E" w:rsidRPr="0095167C" w:rsidRDefault="00A73E9E" w:rsidP="008A7D76">
            <w:pPr>
              <w:jc w:val="left"/>
              <w:rPr>
                <w:rFonts w:ascii="Arial" w:hAnsi="Arial" w:cs="Arial"/>
                <w:sz w:val="16"/>
                <w:szCs w:val="16"/>
                <w:lang w:eastAsia="en-NZ"/>
              </w:rPr>
            </w:pPr>
            <w:r w:rsidRPr="0095167C">
              <w:rPr>
                <w:rFonts w:ascii="Arial" w:hAnsi="Arial" w:cs="Arial"/>
                <w:sz w:val="16"/>
                <w:szCs w:val="16"/>
                <w:lang w:eastAsia="en-NZ"/>
              </w:rPr>
              <w:t> </w:t>
            </w:r>
          </w:p>
        </w:tc>
        <w:tc>
          <w:tcPr>
            <w:tcW w:w="1021" w:type="dxa"/>
            <w:tcBorders>
              <w:top w:val="nil"/>
              <w:left w:val="nil"/>
              <w:bottom w:val="single" w:sz="8" w:space="0" w:color="auto"/>
              <w:right w:val="single" w:sz="8" w:space="0" w:color="auto"/>
            </w:tcBorders>
            <w:shd w:val="clear" w:color="auto" w:fill="auto"/>
            <w:noWrap/>
            <w:vAlign w:val="bottom"/>
            <w:hideMark/>
          </w:tcPr>
          <w:p w:rsidR="00A73E9E" w:rsidRPr="0095167C" w:rsidRDefault="00A73E9E" w:rsidP="008A7D76">
            <w:pPr>
              <w:jc w:val="center"/>
              <w:rPr>
                <w:rFonts w:ascii="Arial" w:hAnsi="Arial" w:cs="Arial"/>
                <w:sz w:val="16"/>
                <w:szCs w:val="16"/>
                <w:lang w:eastAsia="en-NZ"/>
              </w:rPr>
            </w:pPr>
            <w:r w:rsidRPr="0095167C">
              <w:rPr>
                <w:rFonts w:ascii="Arial" w:hAnsi="Arial" w:cs="Arial"/>
                <w:sz w:val="16"/>
                <w:szCs w:val="16"/>
              </w:rPr>
              <w:t> </w:t>
            </w:r>
          </w:p>
        </w:tc>
        <w:tc>
          <w:tcPr>
            <w:tcW w:w="1469" w:type="dxa"/>
            <w:tcBorders>
              <w:top w:val="nil"/>
              <w:left w:val="nil"/>
              <w:bottom w:val="single" w:sz="8" w:space="0" w:color="auto"/>
              <w:right w:val="single" w:sz="8" w:space="0" w:color="auto"/>
            </w:tcBorders>
            <w:shd w:val="clear" w:color="auto" w:fill="auto"/>
            <w:noWrap/>
            <w:vAlign w:val="bottom"/>
            <w:hideMark/>
          </w:tcPr>
          <w:p w:rsidR="00A73E9E" w:rsidRPr="0095167C" w:rsidRDefault="00A73E9E" w:rsidP="007F2CFF">
            <w:pPr>
              <w:jc w:val="right"/>
              <w:rPr>
                <w:rFonts w:ascii="Arial" w:hAnsi="Arial" w:cs="Arial"/>
                <w:sz w:val="16"/>
                <w:szCs w:val="16"/>
                <w:lang w:eastAsia="en-NZ"/>
              </w:rPr>
            </w:pPr>
            <w:r w:rsidRPr="0095167C">
              <w:rPr>
                <w:rFonts w:ascii="Arial" w:hAnsi="Arial" w:cs="Arial"/>
                <w:sz w:val="16"/>
                <w:szCs w:val="16"/>
              </w:rPr>
              <w:t> </w:t>
            </w:r>
          </w:p>
        </w:tc>
        <w:tc>
          <w:tcPr>
            <w:tcW w:w="1467" w:type="dxa"/>
            <w:tcBorders>
              <w:top w:val="nil"/>
              <w:left w:val="nil"/>
              <w:bottom w:val="single" w:sz="8" w:space="0" w:color="auto"/>
              <w:right w:val="single" w:sz="8" w:space="0" w:color="auto"/>
            </w:tcBorders>
            <w:shd w:val="clear" w:color="auto" w:fill="auto"/>
            <w:noWrap/>
            <w:vAlign w:val="bottom"/>
            <w:hideMark/>
          </w:tcPr>
          <w:p w:rsidR="00A73E9E" w:rsidRPr="0095167C" w:rsidRDefault="00A73E9E" w:rsidP="007F2CFF">
            <w:pPr>
              <w:jc w:val="right"/>
              <w:rPr>
                <w:rFonts w:ascii="Arial" w:hAnsi="Arial" w:cs="Arial"/>
                <w:sz w:val="16"/>
                <w:szCs w:val="16"/>
                <w:lang w:eastAsia="en-NZ"/>
              </w:rPr>
            </w:pPr>
            <w:r w:rsidRPr="0095167C">
              <w:rPr>
                <w:rFonts w:ascii="Arial" w:hAnsi="Arial" w:cs="Arial"/>
                <w:sz w:val="16"/>
                <w:szCs w:val="16"/>
              </w:rPr>
              <w:t> </w:t>
            </w:r>
          </w:p>
        </w:tc>
        <w:tc>
          <w:tcPr>
            <w:tcW w:w="1565" w:type="dxa"/>
            <w:tcBorders>
              <w:top w:val="nil"/>
              <w:left w:val="nil"/>
              <w:bottom w:val="single" w:sz="8" w:space="0" w:color="auto"/>
              <w:right w:val="single" w:sz="8" w:space="0" w:color="auto"/>
            </w:tcBorders>
            <w:shd w:val="clear" w:color="auto" w:fill="auto"/>
            <w:noWrap/>
            <w:vAlign w:val="bottom"/>
            <w:hideMark/>
          </w:tcPr>
          <w:p w:rsidR="00A73E9E" w:rsidRPr="0095167C" w:rsidRDefault="00A73E9E" w:rsidP="007F2CFF">
            <w:pPr>
              <w:jc w:val="right"/>
              <w:rPr>
                <w:rFonts w:ascii="Arial" w:hAnsi="Arial" w:cs="Arial"/>
                <w:sz w:val="16"/>
                <w:szCs w:val="16"/>
                <w:lang w:eastAsia="en-NZ"/>
              </w:rPr>
            </w:pPr>
            <w:r w:rsidRPr="0095167C">
              <w:rPr>
                <w:rFonts w:ascii="Arial" w:hAnsi="Arial" w:cs="Arial"/>
                <w:sz w:val="16"/>
                <w:szCs w:val="16"/>
              </w:rPr>
              <w:t> </w:t>
            </w:r>
          </w:p>
        </w:tc>
      </w:tr>
      <w:tr w:rsidR="00B514B3" w:rsidRPr="0095167C" w:rsidTr="00680FA7">
        <w:trPr>
          <w:cantSplit/>
          <w:trHeight w:val="276"/>
        </w:trPr>
        <w:tc>
          <w:tcPr>
            <w:tcW w:w="1479" w:type="dxa"/>
            <w:tcBorders>
              <w:top w:val="nil"/>
              <w:left w:val="single" w:sz="8" w:space="0" w:color="auto"/>
              <w:bottom w:val="single" w:sz="8" w:space="0" w:color="auto"/>
              <w:right w:val="single" w:sz="8" w:space="0" w:color="auto"/>
            </w:tcBorders>
            <w:shd w:val="clear" w:color="auto" w:fill="auto"/>
            <w:noWrap/>
            <w:hideMark/>
          </w:tcPr>
          <w:p w:rsidR="0095167C" w:rsidRPr="0095167C" w:rsidRDefault="0095167C" w:rsidP="008A7D76">
            <w:pPr>
              <w:jc w:val="left"/>
              <w:rPr>
                <w:rFonts w:ascii="Arial" w:hAnsi="Arial" w:cs="Arial"/>
                <w:sz w:val="16"/>
                <w:szCs w:val="16"/>
                <w:lang w:eastAsia="en-NZ"/>
              </w:rPr>
            </w:pPr>
            <w:r w:rsidRPr="0095167C">
              <w:rPr>
                <w:rFonts w:ascii="Arial" w:hAnsi="Arial" w:cs="Arial"/>
                <w:sz w:val="16"/>
                <w:szCs w:val="16"/>
                <w:lang w:eastAsia="en-NZ"/>
              </w:rPr>
              <w:t>Regular petrol</w:t>
            </w:r>
          </w:p>
        </w:tc>
        <w:tc>
          <w:tcPr>
            <w:tcW w:w="1061" w:type="dxa"/>
            <w:tcBorders>
              <w:top w:val="nil"/>
              <w:left w:val="nil"/>
              <w:bottom w:val="single" w:sz="8" w:space="0" w:color="auto"/>
              <w:right w:val="single" w:sz="8" w:space="0" w:color="auto"/>
            </w:tcBorders>
            <w:shd w:val="clear" w:color="auto" w:fill="auto"/>
            <w:noWrap/>
            <w:hideMark/>
          </w:tcPr>
          <w:p w:rsidR="0095167C" w:rsidRPr="0095167C" w:rsidRDefault="0095167C" w:rsidP="008A7D76">
            <w:pPr>
              <w:jc w:val="left"/>
              <w:rPr>
                <w:rFonts w:ascii="Arial" w:hAnsi="Arial" w:cs="Arial"/>
                <w:sz w:val="16"/>
                <w:szCs w:val="16"/>
                <w:lang w:eastAsia="en-NZ"/>
              </w:rPr>
            </w:pPr>
            <w:r w:rsidRPr="0095167C">
              <w:rPr>
                <w:rFonts w:ascii="Arial" w:hAnsi="Arial" w:cs="Arial"/>
                <w:sz w:val="16"/>
                <w:szCs w:val="16"/>
                <w:lang w:eastAsia="en-NZ"/>
              </w:rPr>
              <w:t>Mobile use</w:t>
            </w:r>
          </w:p>
        </w:tc>
        <w:tc>
          <w:tcPr>
            <w:tcW w:w="560" w:type="dxa"/>
            <w:tcBorders>
              <w:top w:val="nil"/>
              <w:left w:val="nil"/>
              <w:bottom w:val="single" w:sz="8" w:space="0" w:color="auto"/>
              <w:right w:val="single" w:sz="8" w:space="0" w:color="auto"/>
            </w:tcBorders>
            <w:shd w:val="clear" w:color="auto" w:fill="auto"/>
            <w:noWrap/>
            <w:hideMark/>
          </w:tcPr>
          <w:p w:rsidR="0095167C" w:rsidRPr="0095167C" w:rsidRDefault="0095167C" w:rsidP="008A7D76">
            <w:pPr>
              <w:jc w:val="left"/>
              <w:rPr>
                <w:rFonts w:ascii="Arial" w:hAnsi="Arial" w:cs="Arial"/>
                <w:sz w:val="16"/>
                <w:szCs w:val="16"/>
                <w:lang w:eastAsia="en-NZ"/>
              </w:rPr>
            </w:pPr>
            <w:r w:rsidRPr="0095167C">
              <w:rPr>
                <w:rFonts w:ascii="Arial" w:hAnsi="Arial" w:cs="Arial"/>
                <w:sz w:val="16"/>
                <w:szCs w:val="16"/>
                <w:lang w:eastAsia="en-NZ"/>
              </w:rPr>
              <w:t>Litre</w:t>
            </w:r>
          </w:p>
        </w:tc>
        <w:tc>
          <w:tcPr>
            <w:tcW w:w="1021" w:type="dxa"/>
            <w:tcBorders>
              <w:top w:val="nil"/>
              <w:left w:val="nil"/>
              <w:bottom w:val="single" w:sz="8" w:space="0" w:color="auto"/>
              <w:right w:val="single" w:sz="8" w:space="0" w:color="auto"/>
            </w:tcBorders>
            <w:shd w:val="clear" w:color="auto" w:fill="auto"/>
            <w:noWrap/>
            <w:vAlign w:val="bottom"/>
            <w:hideMark/>
          </w:tcPr>
          <w:p w:rsidR="0095167C" w:rsidRPr="0095167C" w:rsidRDefault="0095167C" w:rsidP="008A7D76">
            <w:pPr>
              <w:jc w:val="center"/>
              <w:rPr>
                <w:rFonts w:ascii="Arial" w:hAnsi="Arial" w:cs="Arial"/>
                <w:sz w:val="16"/>
                <w:szCs w:val="16"/>
                <w:lang w:eastAsia="en-NZ"/>
              </w:rPr>
            </w:pPr>
            <w:r w:rsidRPr="00A56619">
              <w:rPr>
                <w:rFonts w:ascii="Arial" w:hAnsi="Arial" w:cs="Arial"/>
                <w:sz w:val="16"/>
                <w:szCs w:val="16"/>
              </w:rPr>
              <w:t>35.01</w:t>
            </w:r>
          </w:p>
        </w:tc>
        <w:tc>
          <w:tcPr>
            <w:tcW w:w="1469" w:type="dxa"/>
            <w:tcBorders>
              <w:top w:val="nil"/>
              <w:left w:val="nil"/>
              <w:bottom w:val="single" w:sz="8" w:space="0" w:color="auto"/>
              <w:right w:val="single" w:sz="8" w:space="0" w:color="auto"/>
            </w:tcBorders>
            <w:shd w:val="clear" w:color="auto" w:fill="auto"/>
            <w:noWrap/>
            <w:vAlign w:val="bottom"/>
            <w:hideMark/>
          </w:tcPr>
          <w:p w:rsidR="0095167C" w:rsidRPr="0095167C" w:rsidRDefault="0095167C" w:rsidP="007F2CFF">
            <w:pPr>
              <w:jc w:val="right"/>
              <w:rPr>
                <w:rFonts w:ascii="Arial" w:hAnsi="Arial" w:cs="Arial"/>
                <w:sz w:val="16"/>
                <w:szCs w:val="16"/>
                <w:lang w:eastAsia="en-NZ"/>
              </w:rPr>
            </w:pPr>
            <w:r w:rsidRPr="00A56619">
              <w:rPr>
                <w:rFonts w:ascii="Arial" w:hAnsi="Arial" w:cs="Arial"/>
                <w:sz w:val="16"/>
                <w:szCs w:val="16"/>
              </w:rPr>
              <w:t>66.61</w:t>
            </w:r>
          </w:p>
        </w:tc>
        <w:tc>
          <w:tcPr>
            <w:tcW w:w="1467" w:type="dxa"/>
            <w:tcBorders>
              <w:top w:val="nil"/>
              <w:left w:val="nil"/>
              <w:bottom w:val="single" w:sz="8" w:space="0" w:color="auto"/>
              <w:right w:val="single" w:sz="8" w:space="0" w:color="auto"/>
            </w:tcBorders>
            <w:shd w:val="clear" w:color="auto" w:fill="auto"/>
            <w:noWrap/>
            <w:vAlign w:val="bottom"/>
            <w:hideMark/>
          </w:tcPr>
          <w:p w:rsidR="0095167C" w:rsidRPr="0095167C" w:rsidRDefault="0095167C" w:rsidP="007F2CFF">
            <w:pPr>
              <w:jc w:val="right"/>
              <w:rPr>
                <w:rFonts w:ascii="Arial" w:hAnsi="Arial" w:cs="Arial"/>
                <w:sz w:val="16"/>
                <w:szCs w:val="16"/>
                <w:lang w:eastAsia="en-NZ"/>
              </w:rPr>
            </w:pPr>
            <w:r w:rsidRPr="00A56619">
              <w:rPr>
                <w:rFonts w:ascii="Arial" w:hAnsi="Arial" w:cs="Arial"/>
                <w:sz w:val="16"/>
                <w:szCs w:val="16"/>
              </w:rPr>
              <w:t>0.0281</w:t>
            </w:r>
          </w:p>
        </w:tc>
        <w:tc>
          <w:tcPr>
            <w:tcW w:w="1565" w:type="dxa"/>
            <w:tcBorders>
              <w:top w:val="nil"/>
              <w:left w:val="nil"/>
              <w:bottom w:val="single" w:sz="8" w:space="0" w:color="auto"/>
              <w:right w:val="single" w:sz="8" w:space="0" w:color="auto"/>
            </w:tcBorders>
            <w:shd w:val="clear" w:color="auto" w:fill="auto"/>
            <w:noWrap/>
            <w:vAlign w:val="bottom"/>
            <w:hideMark/>
          </w:tcPr>
          <w:p w:rsidR="0095167C" w:rsidRPr="0095167C" w:rsidRDefault="0080130C" w:rsidP="007F2CFF">
            <w:pPr>
              <w:jc w:val="right"/>
              <w:rPr>
                <w:rFonts w:ascii="Arial" w:hAnsi="Arial" w:cs="Arial"/>
                <w:sz w:val="16"/>
                <w:szCs w:val="16"/>
                <w:lang w:eastAsia="en-NZ"/>
              </w:rPr>
            </w:pPr>
            <w:r>
              <w:rPr>
                <w:rFonts w:ascii="Arial" w:hAnsi="Arial" w:cs="Arial"/>
                <w:sz w:val="16"/>
                <w:szCs w:val="16"/>
              </w:rPr>
              <w:t>0.0076</w:t>
            </w:r>
          </w:p>
        </w:tc>
      </w:tr>
      <w:tr w:rsidR="00B514B3" w:rsidRPr="0095167C" w:rsidTr="00680FA7">
        <w:trPr>
          <w:cantSplit/>
          <w:trHeight w:val="276"/>
        </w:trPr>
        <w:tc>
          <w:tcPr>
            <w:tcW w:w="1479" w:type="dxa"/>
            <w:tcBorders>
              <w:top w:val="nil"/>
              <w:left w:val="single" w:sz="8" w:space="0" w:color="auto"/>
              <w:bottom w:val="single" w:sz="8" w:space="0" w:color="auto"/>
              <w:right w:val="single" w:sz="8" w:space="0" w:color="auto"/>
            </w:tcBorders>
            <w:shd w:val="clear" w:color="auto" w:fill="auto"/>
            <w:noWrap/>
            <w:hideMark/>
          </w:tcPr>
          <w:p w:rsidR="0095167C" w:rsidRPr="0095167C" w:rsidRDefault="0095167C" w:rsidP="008A7D76">
            <w:pPr>
              <w:jc w:val="left"/>
              <w:rPr>
                <w:rFonts w:ascii="Arial" w:hAnsi="Arial" w:cs="Arial"/>
                <w:sz w:val="16"/>
                <w:szCs w:val="16"/>
                <w:lang w:eastAsia="en-NZ"/>
              </w:rPr>
            </w:pPr>
            <w:r w:rsidRPr="0095167C">
              <w:rPr>
                <w:rFonts w:ascii="Arial" w:hAnsi="Arial" w:cs="Arial"/>
                <w:sz w:val="16"/>
                <w:szCs w:val="16"/>
                <w:lang w:eastAsia="en-NZ"/>
              </w:rPr>
              <w:t>Premium petrol</w:t>
            </w:r>
          </w:p>
        </w:tc>
        <w:tc>
          <w:tcPr>
            <w:tcW w:w="1061" w:type="dxa"/>
            <w:tcBorders>
              <w:top w:val="nil"/>
              <w:left w:val="nil"/>
              <w:bottom w:val="single" w:sz="8" w:space="0" w:color="auto"/>
              <w:right w:val="single" w:sz="8" w:space="0" w:color="auto"/>
            </w:tcBorders>
            <w:shd w:val="clear" w:color="auto" w:fill="auto"/>
            <w:noWrap/>
            <w:hideMark/>
          </w:tcPr>
          <w:p w:rsidR="0095167C" w:rsidRPr="0095167C" w:rsidRDefault="0095167C" w:rsidP="008A7D76">
            <w:pPr>
              <w:jc w:val="left"/>
              <w:rPr>
                <w:rFonts w:ascii="Arial" w:hAnsi="Arial" w:cs="Arial"/>
                <w:sz w:val="16"/>
                <w:szCs w:val="16"/>
                <w:lang w:eastAsia="en-NZ"/>
              </w:rPr>
            </w:pPr>
            <w:r w:rsidRPr="0095167C">
              <w:rPr>
                <w:rFonts w:ascii="Arial" w:hAnsi="Arial" w:cs="Arial"/>
                <w:sz w:val="16"/>
                <w:szCs w:val="16"/>
                <w:lang w:eastAsia="en-NZ"/>
              </w:rPr>
              <w:t>Mobile use</w:t>
            </w:r>
          </w:p>
        </w:tc>
        <w:tc>
          <w:tcPr>
            <w:tcW w:w="560" w:type="dxa"/>
            <w:tcBorders>
              <w:top w:val="nil"/>
              <w:left w:val="nil"/>
              <w:bottom w:val="single" w:sz="8" w:space="0" w:color="auto"/>
              <w:right w:val="single" w:sz="8" w:space="0" w:color="auto"/>
            </w:tcBorders>
            <w:shd w:val="clear" w:color="auto" w:fill="auto"/>
            <w:noWrap/>
            <w:hideMark/>
          </w:tcPr>
          <w:p w:rsidR="0095167C" w:rsidRPr="0095167C" w:rsidRDefault="0095167C" w:rsidP="008A7D76">
            <w:pPr>
              <w:jc w:val="left"/>
              <w:rPr>
                <w:rFonts w:ascii="Arial" w:hAnsi="Arial" w:cs="Arial"/>
                <w:sz w:val="16"/>
                <w:szCs w:val="16"/>
                <w:lang w:eastAsia="en-NZ"/>
              </w:rPr>
            </w:pPr>
            <w:r w:rsidRPr="0095167C">
              <w:rPr>
                <w:rFonts w:ascii="Arial" w:hAnsi="Arial" w:cs="Arial"/>
                <w:sz w:val="16"/>
                <w:szCs w:val="16"/>
                <w:lang w:eastAsia="en-NZ"/>
              </w:rPr>
              <w:t>Litre</w:t>
            </w:r>
          </w:p>
        </w:tc>
        <w:tc>
          <w:tcPr>
            <w:tcW w:w="1021" w:type="dxa"/>
            <w:tcBorders>
              <w:top w:val="nil"/>
              <w:left w:val="nil"/>
              <w:bottom w:val="single" w:sz="8" w:space="0" w:color="auto"/>
              <w:right w:val="single" w:sz="8" w:space="0" w:color="auto"/>
            </w:tcBorders>
            <w:shd w:val="clear" w:color="auto" w:fill="auto"/>
            <w:noWrap/>
            <w:vAlign w:val="bottom"/>
            <w:hideMark/>
          </w:tcPr>
          <w:p w:rsidR="0095167C" w:rsidRPr="0095167C" w:rsidRDefault="0095167C" w:rsidP="008A7D76">
            <w:pPr>
              <w:jc w:val="center"/>
              <w:rPr>
                <w:rFonts w:ascii="Arial" w:hAnsi="Arial" w:cs="Arial"/>
                <w:sz w:val="16"/>
                <w:szCs w:val="16"/>
                <w:lang w:eastAsia="en-NZ"/>
              </w:rPr>
            </w:pPr>
            <w:r w:rsidRPr="00A56619">
              <w:rPr>
                <w:rFonts w:ascii="Arial" w:hAnsi="Arial" w:cs="Arial"/>
                <w:sz w:val="16"/>
                <w:szCs w:val="16"/>
              </w:rPr>
              <w:t>35.18</w:t>
            </w:r>
          </w:p>
        </w:tc>
        <w:tc>
          <w:tcPr>
            <w:tcW w:w="1469" w:type="dxa"/>
            <w:tcBorders>
              <w:top w:val="nil"/>
              <w:left w:val="nil"/>
              <w:bottom w:val="single" w:sz="8" w:space="0" w:color="auto"/>
              <w:right w:val="single" w:sz="8" w:space="0" w:color="auto"/>
            </w:tcBorders>
            <w:shd w:val="clear" w:color="auto" w:fill="auto"/>
            <w:noWrap/>
            <w:vAlign w:val="bottom"/>
            <w:hideMark/>
          </w:tcPr>
          <w:p w:rsidR="0095167C" w:rsidRPr="0095167C" w:rsidRDefault="0095167C" w:rsidP="007F2CFF">
            <w:pPr>
              <w:jc w:val="right"/>
              <w:rPr>
                <w:rFonts w:ascii="Arial" w:hAnsi="Arial" w:cs="Arial"/>
                <w:sz w:val="16"/>
                <w:szCs w:val="16"/>
                <w:lang w:eastAsia="en-NZ"/>
              </w:rPr>
            </w:pPr>
            <w:r w:rsidRPr="00A56619">
              <w:rPr>
                <w:rFonts w:ascii="Arial" w:hAnsi="Arial" w:cs="Arial"/>
                <w:sz w:val="16"/>
                <w:szCs w:val="16"/>
              </w:rPr>
              <w:t>66.12</w:t>
            </w:r>
          </w:p>
        </w:tc>
        <w:tc>
          <w:tcPr>
            <w:tcW w:w="1467" w:type="dxa"/>
            <w:tcBorders>
              <w:top w:val="nil"/>
              <w:left w:val="nil"/>
              <w:bottom w:val="single" w:sz="8" w:space="0" w:color="auto"/>
              <w:right w:val="single" w:sz="8" w:space="0" w:color="auto"/>
            </w:tcBorders>
            <w:shd w:val="clear" w:color="auto" w:fill="auto"/>
            <w:noWrap/>
            <w:vAlign w:val="bottom"/>
            <w:hideMark/>
          </w:tcPr>
          <w:p w:rsidR="0095167C" w:rsidRPr="0095167C" w:rsidRDefault="0095167C" w:rsidP="007F2CFF">
            <w:pPr>
              <w:jc w:val="right"/>
              <w:rPr>
                <w:rFonts w:ascii="Arial" w:hAnsi="Arial" w:cs="Arial"/>
                <w:sz w:val="16"/>
                <w:szCs w:val="16"/>
                <w:lang w:eastAsia="en-NZ"/>
              </w:rPr>
            </w:pPr>
            <w:r w:rsidRPr="00A56619">
              <w:rPr>
                <w:rFonts w:ascii="Arial" w:hAnsi="Arial" w:cs="Arial"/>
                <w:sz w:val="16"/>
                <w:szCs w:val="16"/>
              </w:rPr>
              <w:t>0.0281</w:t>
            </w:r>
          </w:p>
        </w:tc>
        <w:tc>
          <w:tcPr>
            <w:tcW w:w="1565" w:type="dxa"/>
            <w:tcBorders>
              <w:top w:val="nil"/>
              <w:left w:val="nil"/>
              <w:bottom w:val="single" w:sz="8" w:space="0" w:color="auto"/>
              <w:right w:val="single" w:sz="8" w:space="0" w:color="auto"/>
            </w:tcBorders>
            <w:shd w:val="clear" w:color="auto" w:fill="auto"/>
            <w:noWrap/>
            <w:vAlign w:val="bottom"/>
            <w:hideMark/>
          </w:tcPr>
          <w:p w:rsidR="0095167C" w:rsidRPr="0095167C" w:rsidRDefault="0080130C" w:rsidP="007F2CFF">
            <w:pPr>
              <w:jc w:val="right"/>
              <w:rPr>
                <w:rFonts w:ascii="Arial" w:hAnsi="Arial" w:cs="Arial"/>
                <w:sz w:val="16"/>
                <w:szCs w:val="16"/>
                <w:lang w:eastAsia="en-NZ"/>
              </w:rPr>
            </w:pPr>
            <w:r>
              <w:rPr>
                <w:rFonts w:ascii="Arial" w:hAnsi="Arial" w:cs="Arial"/>
                <w:sz w:val="16"/>
                <w:szCs w:val="16"/>
              </w:rPr>
              <w:t>0.0076</w:t>
            </w:r>
          </w:p>
        </w:tc>
      </w:tr>
      <w:tr w:rsidR="00B514B3" w:rsidRPr="0095167C" w:rsidTr="00680FA7">
        <w:trPr>
          <w:cantSplit/>
          <w:trHeight w:val="276"/>
        </w:trPr>
        <w:tc>
          <w:tcPr>
            <w:tcW w:w="1479" w:type="dxa"/>
            <w:tcBorders>
              <w:top w:val="nil"/>
              <w:left w:val="single" w:sz="8" w:space="0" w:color="auto"/>
              <w:bottom w:val="single" w:sz="8" w:space="0" w:color="auto"/>
              <w:right w:val="single" w:sz="8" w:space="0" w:color="auto"/>
            </w:tcBorders>
            <w:shd w:val="clear" w:color="auto" w:fill="auto"/>
            <w:noWrap/>
            <w:hideMark/>
          </w:tcPr>
          <w:p w:rsidR="0095167C" w:rsidRPr="0095167C" w:rsidRDefault="0095167C" w:rsidP="008A7D76">
            <w:pPr>
              <w:jc w:val="left"/>
              <w:rPr>
                <w:rFonts w:ascii="Arial" w:hAnsi="Arial" w:cs="Arial"/>
                <w:sz w:val="16"/>
                <w:szCs w:val="16"/>
                <w:lang w:eastAsia="en-NZ"/>
              </w:rPr>
            </w:pPr>
            <w:r w:rsidRPr="0095167C">
              <w:rPr>
                <w:rFonts w:ascii="Arial" w:hAnsi="Arial" w:cs="Arial"/>
                <w:sz w:val="16"/>
                <w:szCs w:val="16"/>
                <w:lang w:eastAsia="en-NZ"/>
              </w:rPr>
              <w:t>Diesel</w:t>
            </w:r>
          </w:p>
        </w:tc>
        <w:tc>
          <w:tcPr>
            <w:tcW w:w="1061" w:type="dxa"/>
            <w:tcBorders>
              <w:top w:val="nil"/>
              <w:left w:val="nil"/>
              <w:bottom w:val="single" w:sz="8" w:space="0" w:color="auto"/>
              <w:right w:val="single" w:sz="8" w:space="0" w:color="auto"/>
            </w:tcBorders>
            <w:shd w:val="clear" w:color="auto" w:fill="auto"/>
            <w:noWrap/>
            <w:hideMark/>
          </w:tcPr>
          <w:p w:rsidR="0095167C" w:rsidRPr="0095167C" w:rsidRDefault="0095167C" w:rsidP="008A7D76">
            <w:pPr>
              <w:jc w:val="left"/>
              <w:rPr>
                <w:rFonts w:ascii="Arial" w:hAnsi="Arial" w:cs="Arial"/>
                <w:sz w:val="16"/>
                <w:szCs w:val="16"/>
                <w:lang w:eastAsia="en-NZ"/>
              </w:rPr>
            </w:pPr>
            <w:r w:rsidRPr="0095167C">
              <w:rPr>
                <w:rFonts w:ascii="Arial" w:hAnsi="Arial" w:cs="Arial"/>
                <w:sz w:val="16"/>
                <w:szCs w:val="16"/>
                <w:lang w:eastAsia="en-NZ"/>
              </w:rPr>
              <w:t>Mobile use</w:t>
            </w:r>
          </w:p>
        </w:tc>
        <w:tc>
          <w:tcPr>
            <w:tcW w:w="560" w:type="dxa"/>
            <w:tcBorders>
              <w:top w:val="nil"/>
              <w:left w:val="nil"/>
              <w:bottom w:val="single" w:sz="8" w:space="0" w:color="auto"/>
              <w:right w:val="single" w:sz="8" w:space="0" w:color="auto"/>
            </w:tcBorders>
            <w:shd w:val="clear" w:color="auto" w:fill="auto"/>
            <w:noWrap/>
            <w:hideMark/>
          </w:tcPr>
          <w:p w:rsidR="0095167C" w:rsidRPr="0095167C" w:rsidRDefault="0095167C" w:rsidP="008A7D76">
            <w:pPr>
              <w:jc w:val="left"/>
              <w:rPr>
                <w:rFonts w:ascii="Arial" w:hAnsi="Arial" w:cs="Arial"/>
                <w:sz w:val="16"/>
                <w:szCs w:val="16"/>
                <w:lang w:eastAsia="en-NZ"/>
              </w:rPr>
            </w:pPr>
            <w:r w:rsidRPr="0095167C">
              <w:rPr>
                <w:rFonts w:ascii="Arial" w:hAnsi="Arial" w:cs="Arial"/>
                <w:sz w:val="16"/>
                <w:szCs w:val="16"/>
                <w:lang w:eastAsia="en-NZ"/>
              </w:rPr>
              <w:t>Litre</w:t>
            </w:r>
          </w:p>
        </w:tc>
        <w:tc>
          <w:tcPr>
            <w:tcW w:w="1021" w:type="dxa"/>
            <w:tcBorders>
              <w:top w:val="nil"/>
              <w:left w:val="nil"/>
              <w:bottom w:val="single" w:sz="8" w:space="0" w:color="auto"/>
              <w:right w:val="single" w:sz="8" w:space="0" w:color="auto"/>
            </w:tcBorders>
            <w:shd w:val="clear" w:color="auto" w:fill="auto"/>
            <w:noWrap/>
            <w:vAlign w:val="bottom"/>
            <w:hideMark/>
          </w:tcPr>
          <w:p w:rsidR="0095167C" w:rsidRPr="0095167C" w:rsidRDefault="0095167C" w:rsidP="00907AF8">
            <w:pPr>
              <w:jc w:val="center"/>
              <w:rPr>
                <w:rFonts w:ascii="Arial" w:hAnsi="Arial" w:cs="Arial"/>
                <w:sz w:val="16"/>
                <w:szCs w:val="16"/>
                <w:lang w:eastAsia="en-NZ"/>
              </w:rPr>
            </w:pPr>
            <w:r w:rsidRPr="00A56619">
              <w:rPr>
                <w:rFonts w:ascii="Arial" w:hAnsi="Arial" w:cs="Arial"/>
                <w:sz w:val="16"/>
                <w:szCs w:val="16"/>
              </w:rPr>
              <w:t>38.40</w:t>
            </w:r>
          </w:p>
        </w:tc>
        <w:tc>
          <w:tcPr>
            <w:tcW w:w="1469" w:type="dxa"/>
            <w:tcBorders>
              <w:top w:val="nil"/>
              <w:left w:val="nil"/>
              <w:bottom w:val="single" w:sz="8" w:space="0" w:color="auto"/>
              <w:right w:val="single" w:sz="8" w:space="0" w:color="auto"/>
            </w:tcBorders>
            <w:shd w:val="clear" w:color="auto" w:fill="auto"/>
            <w:noWrap/>
            <w:vAlign w:val="bottom"/>
            <w:hideMark/>
          </w:tcPr>
          <w:p w:rsidR="0095167C" w:rsidRPr="0095167C" w:rsidRDefault="0095167C" w:rsidP="007F2CFF">
            <w:pPr>
              <w:jc w:val="right"/>
              <w:rPr>
                <w:rFonts w:ascii="Arial" w:hAnsi="Arial" w:cs="Arial"/>
                <w:sz w:val="16"/>
                <w:szCs w:val="16"/>
                <w:lang w:eastAsia="en-NZ"/>
              </w:rPr>
            </w:pPr>
            <w:r w:rsidRPr="00A56619">
              <w:rPr>
                <w:rFonts w:ascii="Arial" w:hAnsi="Arial" w:cs="Arial"/>
                <w:sz w:val="16"/>
                <w:szCs w:val="16"/>
              </w:rPr>
              <w:t>69.58</w:t>
            </w:r>
          </w:p>
        </w:tc>
        <w:tc>
          <w:tcPr>
            <w:tcW w:w="1467" w:type="dxa"/>
            <w:tcBorders>
              <w:top w:val="nil"/>
              <w:left w:val="nil"/>
              <w:bottom w:val="single" w:sz="8" w:space="0" w:color="auto"/>
              <w:right w:val="single" w:sz="8" w:space="0" w:color="auto"/>
            </w:tcBorders>
            <w:shd w:val="clear" w:color="auto" w:fill="auto"/>
            <w:noWrap/>
            <w:vAlign w:val="bottom"/>
            <w:hideMark/>
          </w:tcPr>
          <w:p w:rsidR="0095167C" w:rsidRPr="0095167C" w:rsidRDefault="0095167C" w:rsidP="007F2CFF">
            <w:pPr>
              <w:jc w:val="right"/>
              <w:rPr>
                <w:rFonts w:ascii="Arial" w:hAnsi="Arial" w:cs="Arial"/>
                <w:sz w:val="16"/>
                <w:szCs w:val="16"/>
                <w:lang w:eastAsia="en-NZ"/>
              </w:rPr>
            </w:pPr>
            <w:r w:rsidRPr="00A56619">
              <w:rPr>
                <w:rFonts w:ascii="Arial" w:hAnsi="Arial" w:cs="Arial"/>
                <w:sz w:val="16"/>
                <w:szCs w:val="16"/>
              </w:rPr>
              <w:t>0.00371</w:t>
            </w:r>
          </w:p>
        </w:tc>
        <w:tc>
          <w:tcPr>
            <w:tcW w:w="1565" w:type="dxa"/>
            <w:tcBorders>
              <w:top w:val="nil"/>
              <w:left w:val="nil"/>
              <w:bottom w:val="single" w:sz="8" w:space="0" w:color="auto"/>
              <w:right w:val="single" w:sz="8" w:space="0" w:color="auto"/>
            </w:tcBorders>
            <w:shd w:val="clear" w:color="auto" w:fill="auto"/>
            <w:noWrap/>
            <w:vAlign w:val="bottom"/>
            <w:hideMark/>
          </w:tcPr>
          <w:p w:rsidR="0095167C" w:rsidRPr="0095167C" w:rsidRDefault="0095167C" w:rsidP="007F2CFF">
            <w:pPr>
              <w:jc w:val="right"/>
              <w:rPr>
                <w:rFonts w:ascii="Arial" w:hAnsi="Arial" w:cs="Arial"/>
                <w:sz w:val="16"/>
                <w:szCs w:val="16"/>
                <w:lang w:eastAsia="en-NZ"/>
              </w:rPr>
            </w:pPr>
            <w:r w:rsidRPr="00A56619">
              <w:rPr>
                <w:rFonts w:ascii="Arial" w:hAnsi="Arial" w:cs="Arial"/>
                <w:sz w:val="16"/>
                <w:szCs w:val="16"/>
              </w:rPr>
              <w:t>0.00371</w:t>
            </w:r>
          </w:p>
        </w:tc>
      </w:tr>
      <w:tr w:rsidR="00B514B3" w:rsidRPr="0095167C" w:rsidTr="00680FA7">
        <w:trPr>
          <w:cantSplit/>
          <w:trHeight w:val="276"/>
        </w:trPr>
        <w:tc>
          <w:tcPr>
            <w:tcW w:w="1479" w:type="dxa"/>
            <w:tcBorders>
              <w:top w:val="nil"/>
              <w:left w:val="single" w:sz="8" w:space="0" w:color="auto"/>
              <w:bottom w:val="single" w:sz="8" w:space="0" w:color="auto"/>
              <w:right w:val="single" w:sz="8" w:space="0" w:color="auto"/>
            </w:tcBorders>
            <w:shd w:val="clear" w:color="auto" w:fill="auto"/>
            <w:noWrap/>
            <w:hideMark/>
          </w:tcPr>
          <w:p w:rsidR="0095167C" w:rsidRPr="0095167C" w:rsidRDefault="0095167C" w:rsidP="008A7D76">
            <w:pPr>
              <w:jc w:val="left"/>
              <w:rPr>
                <w:rFonts w:ascii="Arial" w:hAnsi="Arial" w:cs="Arial"/>
                <w:sz w:val="16"/>
                <w:szCs w:val="16"/>
                <w:lang w:eastAsia="en-NZ"/>
              </w:rPr>
            </w:pPr>
            <w:r w:rsidRPr="0095167C">
              <w:rPr>
                <w:rFonts w:ascii="Arial" w:hAnsi="Arial" w:cs="Arial"/>
                <w:sz w:val="16"/>
                <w:szCs w:val="16"/>
                <w:lang w:eastAsia="en-NZ"/>
              </w:rPr>
              <w:t>LPG</w:t>
            </w:r>
          </w:p>
        </w:tc>
        <w:tc>
          <w:tcPr>
            <w:tcW w:w="1061" w:type="dxa"/>
            <w:tcBorders>
              <w:top w:val="nil"/>
              <w:left w:val="nil"/>
              <w:bottom w:val="single" w:sz="8" w:space="0" w:color="auto"/>
              <w:right w:val="single" w:sz="8" w:space="0" w:color="auto"/>
            </w:tcBorders>
            <w:shd w:val="clear" w:color="auto" w:fill="auto"/>
            <w:noWrap/>
            <w:hideMark/>
          </w:tcPr>
          <w:p w:rsidR="0095167C" w:rsidRPr="0095167C" w:rsidRDefault="0095167C" w:rsidP="008A7D76">
            <w:pPr>
              <w:jc w:val="left"/>
              <w:rPr>
                <w:rFonts w:ascii="Arial" w:hAnsi="Arial" w:cs="Arial"/>
                <w:sz w:val="16"/>
                <w:szCs w:val="16"/>
                <w:lang w:eastAsia="en-NZ"/>
              </w:rPr>
            </w:pPr>
            <w:r w:rsidRPr="0095167C">
              <w:rPr>
                <w:rFonts w:ascii="Arial" w:hAnsi="Arial" w:cs="Arial"/>
                <w:sz w:val="16"/>
                <w:szCs w:val="16"/>
                <w:lang w:eastAsia="en-NZ"/>
              </w:rPr>
              <w:t>Mobile use</w:t>
            </w:r>
          </w:p>
        </w:tc>
        <w:tc>
          <w:tcPr>
            <w:tcW w:w="560" w:type="dxa"/>
            <w:tcBorders>
              <w:top w:val="nil"/>
              <w:left w:val="nil"/>
              <w:bottom w:val="single" w:sz="8" w:space="0" w:color="auto"/>
              <w:right w:val="single" w:sz="8" w:space="0" w:color="auto"/>
            </w:tcBorders>
            <w:shd w:val="clear" w:color="auto" w:fill="auto"/>
            <w:noWrap/>
            <w:hideMark/>
          </w:tcPr>
          <w:p w:rsidR="0095167C" w:rsidRPr="0095167C" w:rsidRDefault="0095167C" w:rsidP="008A7D76">
            <w:pPr>
              <w:jc w:val="left"/>
              <w:rPr>
                <w:rFonts w:ascii="Arial" w:hAnsi="Arial" w:cs="Arial"/>
                <w:sz w:val="16"/>
                <w:szCs w:val="16"/>
                <w:lang w:eastAsia="en-NZ"/>
              </w:rPr>
            </w:pPr>
            <w:r w:rsidRPr="0095167C">
              <w:rPr>
                <w:rFonts w:ascii="Arial" w:hAnsi="Arial" w:cs="Arial"/>
                <w:sz w:val="16"/>
                <w:szCs w:val="16"/>
                <w:lang w:eastAsia="en-NZ"/>
              </w:rPr>
              <w:t>Litre</w:t>
            </w:r>
          </w:p>
        </w:tc>
        <w:tc>
          <w:tcPr>
            <w:tcW w:w="1021" w:type="dxa"/>
            <w:tcBorders>
              <w:top w:val="nil"/>
              <w:left w:val="nil"/>
              <w:bottom w:val="single" w:sz="8" w:space="0" w:color="auto"/>
              <w:right w:val="single" w:sz="8" w:space="0" w:color="auto"/>
            </w:tcBorders>
            <w:shd w:val="clear" w:color="auto" w:fill="auto"/>
            <w:noWrap/>
            <w:vAlign w:val="bottom"/>
            <w:hideMark/>
          </w:tcPr>
          <w:p w:rsidR="0095167C" w:rsidRPr="0095167C" w:rsidRDefault="0095167C" w:rsidP="008A7D76">
            <w:pPr>
              <w:jc w:val="center"/>
              <w:rPr>
                <w:rFonts w:ascii="Arial" w:hAnsi="Arial" w:cs="Arial"/>
                <w:sz w:val="16"/>
                <w:szCs w:val="16"/>
                <w:lang w:eastAsia="en-NZ"/>
              </w:rPr>
            </w:pPr>
            <w:r w:rsidRPr="00A56619">
              <w:rPr>
                <w:rFonts w:ascii="Arial" w:hAnsi="Arial" w:cs="Arial"/>
                <w:sz w:val="16"/>
                <w:szCs w:val="16"/>
              </w:rPr>
              <w:t>26.54</w:t>
            </w:r>
          </w:p>
        </w:tc>
        <w:tc>
          <w:tcPr>
            <w:tcW w:w="1469" w:type="dxa"/>
            <w:tcBorders>
              <w:top w:val="nil"/>
              <w:left w:val="nil"/>
              <w:bottom w:val="single" w:sz="8" w:space="0" w:color="auto"/>
              <w:right w:val="single" w:sz="8" w:space="0" w:color="auto"/>
            </w:tcBorders>
            <w:shd w:val="clear" w:color="auto" w:fill="auto"/>
            <w:noWrap/>
            <w:vAlign w:val="bottom"/>
            <w:hideMark/>
          </w:tcPr>
          <w:p w:rsidR="0095167C" w:rsidRPr="0095167C" w:rsidRDefault="0095167C" w:rsidP="007F2CFF">
            <w:pPr>
              <w:jc w:val="right"/>
              <w:rPr>
                <w:rFonts w:ascii="Arial" w:hAnsi="Arial" w:cs="Arial"/>
                <w:sz w:val="16"/>
                <w:szCs w:val="16"/>
                <w:lang w:eastAsia="en-NZ"/>
              </w:rPr>
            </w:pPr>
            <w:r w:rsidRPr="00A56619">
              <w:rPr>
                <w:rFonts w:ascii="Arial" w:hAnsi="Arial" w:cs="Arial"/>
                <w:sz w:val="16"/>
                <w:szCs w:val="16"/>
              </w:rPr>
              <w:t>60.43</w:t>
            </w:r>
          </w:p>
        </w:tc>
        <w:tc>
          <w:tcPr>
            <w:tcW w:w="1467" w:type="dxa"/>
            <w:tcBorders>
              <w:top w:val="nil"/>
              <w:left w:val="nil"/>
              <w:bottom w:val="single" w:sz="8" w:space="0" w:color="auto"/>
              <w:right w:val="single" w:sz="8" w:space="0" w:color="auto"/>
            </w:tcBorders>
            <w:shd w:val="clear" w:color="auto" w:fill="auto"/>
            <w:noWrap/>
            <w:vAlign w:val="bottom"/>
            <w:hideMark/>
          </w:tcPr>
          <w:p w:rsidR="0095167C" w:rsidRPr="0095167C" w:rsidRDefault="0095167C" w:rsidP="007F2CFF">
            <w:pPr>
              <w:jc w:val="right"/>
              <w:rPr>
                <w:rFonts w:ascii="Arial" w:hAnsi="Arial" w:cs="Arial"/>
                <w:sz w:val="16"/>
                <w:szCs w:val="16"/>
                <w:lang w:eastAsia="en-NZ"/>
              </w:rPr>
            </w:pPr>
            <w:r w:rsidRPr="00A56619">
              <w:rPr>
                <w:rFonts w:ascii="Arial" w:hAnsi="Arial" w:cs="Arial"/>
                <w:sz w:val="16"/>
                <w:szCs w:val="16"/>
              </w:rPr>
              <w:t>0.0589</w:t>
            </w:r>
          </w:p>
        </w:tc>
        <w:tc>
          <w:tcPr>
            <w:tcW w:w="1565" w:type="dxa"/>
            <w:tcBorders>
              <w:top w:val="nil"/>
              <w:left w:val="nil"/>
              <w:bottom w:val="single" w:sz="8" w:space="0" w:color="auto"/>
              <w:right w:val="single" w:sz="8" w:space="0" w:color="auto"/>
            </w:tcBorders>
            <w:shd w:val="clear" w:color="auto" w:fill="auto"/>
            <w:noWrap/>
            <w:vAlign w:val="bottom"/>
            <w:hideMark/>
          </w:tcPr>
          <w:p w:rsidR="0095167C" w:rsidRPr="0095167C" w:rsidRDefault="0080130C" w:rsidP="007F2CFF">
            <w:pPr>
              <w:jc w:val="right"/>
              <w:rPr>
                <w:rFonts w:ascii="Arial" w:hAnsi="Arial" w:cs="Arial"/>
                <w:sz w:val="16"/>
                <w:szCs w:val="16"/>
                <w:lang w:eastAsia="en-NZ"/>
              </w:rPr>
            </w:pPr>
            <w:r>
              <w:rPr>
                <w:rFonts w:ascii="Arial" w:hAnsi="Arial" w:cs="Arial"/>
                <w:sz w:val="16"/>
                <w:szCs w:val="16"/>
              </w:rPr>
              <w:t>0.00019</w:t>
            </w:r>
          </w:p>
        </w:tc>
      </w:tr>
      <w:tr w:rsidR="00B514B3" w:rsidRPr="0095167C" w:rsidTr="00680FA7">
        <w:trPr>
          <w:cantSplit/>
          <w:trHeight w:val="276"/>
        </w:trPr>
        <w:tc>
          <w:tcPr>
            <w:tcW w:w="1479" w:type="dxa"/>
            <w:tcBorders>
              <w:top w:val="nil"/>
              <w:left w:val="single" w:sz="8" w:space="0" w:color="auto"/>
              <w:bottom w:val="single" w:sz="8" w:space="0" w:color="auto"/>
              <w:right w:val="single" w:sz="8" w:space="0" w:color="auto"/>
            </w:tcBorders>
            <w:shd w:val="clear" w:color="auto" w:fill="auto"/>
            <w:noWrap/>
            <w:hideMark/>
          </w:tcPr>
          <w:p w:rsidR="0095167C" w:rsidRPr="0095167C" w:rsidRDefault="0095167C" w:rsidP="008A7D76">
            <w:pPr>
              <w:jc w:val="left"/>
              <w:rPr>
                <w:rFonts w:ascii="Arial" w:hAnsi="Arial" w:cs="Arial"/>
                <w:sz w:val="16"/>
                <w:szCs w:val="16"/>
                <w:lang w:eastAsia="en-NZ"/>
              </w:rPr>
            </w:pPr>
            <w:r w:rsidRPr="0095167C">
              <w:rPr>
                <w:rFonts w:ascii="Arial" w:hAnsi="Arial" w:cs="Arial"/>
                <w:sz w:val="16"/>
                <w:szCs w:val="16"/>
                <w:lang w:eastAsia="en-NZ"/>
              </w:rPr>
              <w:t>Marine diesel</w:t>
            </w:r>
          </w:p>
        </w:tc>
        <w:tc>
          <w:tcPr>
            <w:tcW w:w="1061" w:type="dxa"/>
            <w:tcBorders>
              <w:top w:val="nil"/>
              <w:left w:val="nil"/>
              <w:bottom w:val="single" w:sz="8" w:space="0" w:color="auto"/>
              <w:right w:val="single" w:sz="8" w:space="0" w:color="auto"/>
            </w:tcBorders>
            <w:shd w:val="clear" w:color="auto" w:fill="auto"/>
            <w:noWrap/>
            <w:hideMark/>
          </w:tcPr>
          <w:p w:rsidR="0095167C" w:rsidRPr="0095167C" w:rsidRDefault="0095167C" w:rsidP="008A7D76">
            <w:pPr>
              <w:jc w:val="left"/>
              <w:rPr>
                <w:rFonts w:ascii="Arial" w:hAnsi="Arial" w:cs="Arial"/>
                <w:sz w:val="16"/>
                <w:szCs w:val="16"/>
                <w:lang w:eastAsia="en-NZ"/>
              </w:rPr>
            </w:pPr>
            <w:r w:rsidRPr="0095167C">
              <w:rPr>
                <w:rFonts w:ascii="Arial" w:hAnsi="Arial" w:cs="Arial"/>
                <w:sz w:val="16"/>
                <w:szCs w:val="16"/>
                <w:lang w:eastAsia="en-NZ"/>
              </w:rPr>
              <w:t>Mobile use</w:t>
            </w:r>
          </w:p>
        </w:tc>
        <w:tc>
          <w:tcPr>
            <w:tcW w:w="560" w:type="dxa"/>
            <w:tcBorders>
              <w:top w:val="nil"/>
              <w:left w:val="nil"/>
              <w:bottom w:val="single" w:sz="8" w:space="0" w:color="auto"/>
              <w:right w:val="single" w:sz="8" w:space="0" w:color="auto"/>
            </w:tcBorders>
            <w:shd w:val="clear" w:color="auto" w:fill="auto"/>
            <w:noWrap/>
            <w:hideMark/>
          </w:tcPr>
          <w:p w:rsidR="0095167C" w:rsidRPr="0095167C" w:rsidRDefault="0095167C" w:rsidP="008A7D76">
            <w:pPr>
              <w:jc w:val="left"/>
              <w:rPr>
                <w:rFonts w:ascii="Arial" w:hAnsi="Arial" w:cs="Arial"/>
                <w:sz w:val="16"/>
                <w:szCs w:val="16"/>
                <w:lang w:eastAsia="en-NZ"/>
              </w:rPr>
            </w:pPr>
            <w:r w:rsidRPr="0095167C">
              <w:rPr>
                <w:rFonts w:ascii="Arial" w:hAnsi="Arial" w:cs="Arial"/>
                <w:sz w:val="16"/>
                <w:szCs w:val="16"/>
                <w:lang w:eastAsia="en-NZ"/>
              </w:rPr>
              <w:t>Litre</w:t>
            </w:r>
          </w:p>
        </w:tc>
        <w:tc>
          <w:tcPr>
            <w:tcW w:w="1021" w:type="dxa"/>
            <w:tcBorders>
              <w:top w:val="nil"/>
              <w:left w:val="nil"/>
              <w:bottom w:val="single" w:sz="8" w:space="0" w:color="auto"/>
              <w:right w:val="single" w:sz="8" w:space="0" w:color="auto"/>
            </w:tcBorders>
            <w:shd w:val="clear" w:color="auto" w:fill="auto"/>
            <w:noWrap/>
            <w:vAlign w:val="bottom"/>
            <w:hideMark/>
          </w:tcPr>
          <w:p w:rsidR="0095167C" w:rsidRPr="0095167C" w:rsidRDefault="0095167C" w:rsidP="008A7D76">
            <w:pPr>
              <w:jc w:val="center"/>
              <w:rPr>
                <w:rFonts w:ascii="Arial" w:hAnsi="Arial" w:cs="Arial"/>
                <w:sz w:val="16"/>
                <w:szCs w:val="16"/>
                <w:lang w:eastAsia="en-NZ"/>
              </w:rPr>
            </w:pPr>
            <w:r w:rsidRPr="00A56619">
              <w:rPr>
                <w:rFonts w:ascii="Arial" w:hAnsi="Arial" w:cs="Arial"/>
                <w:sz w:val="16"/>
                <w:szCs w:val="16"/>
              </w:rPr>
              <w:t>-</w:t>
            </w:r>
          </w:p>
        </w:tc>
        <w:tc>
          <w:tcPr>
            <w:tcW w:w="1469" w:type="dxa"/>
            <w:tcBorders>
              <w:top w:val="nil"/>
              <w:left w:val="nil"/>
              <w:bottom w:val="single" w:sz="8" w:space="0" w:color="auto"/>
              <w:right w:val="single" w:sz="8" w:space="0" w:color="auto"/>
            </w:tcBorders>
            <w:shd w:val="clear" w:color="auto" w:fill="auto"/>
            <w:noWrap/>
            <w:vAlign w:val="bottom"/>
            <w:hideMark/>
          </w:tcPr>
          <w:p w:rsidR="0095167C" w:rsidRPr="0095167C" w:rsidRDefault="0095167C" w:rsidP="007F2CFF">
            <w:pPr>
              <w:jc w:val="right"/>
              <w:rPr>
                <w:rFonts w:ascii="Arial" w:hAnsi="Arial" w:cs="Arial"/>
                <w:sz w:val="16"/>
                <w:szCs w:val="16"/>
                <w:lang w:eastAsia="en-NZ"/>
              </w:rPr>
            </w:pPr>
            <w:r w:rsidRPr="00A56619">
              <w:rPr>
                <w:rFonts w:ascii="Arial" w:hAnsi="Arial" w:cs="Arial"/>
                <w:sz w:val="16"/>
                <w:szCs w:val="16"/>
              </w:rPr>
              <w:t>-</w:t>
            </w:r>
          </w:p>
        </w:tc>
        <w:tc>
          <w:tcPr>
            <w:tcW w:w="1467" w:type="dxa"/>
            <w:tcBorders>
              <w:top w:val="nil"/>
              <w:left w:val="nil"/>
              <w:bottom w:val="single" w:sz="8" w:space="0" w:color="auto"/>
              <w:right w:val="single" w:sz="8" w:space="0" w:color="auto"/>
            </w:tcBorders>
            <w:shd w:val="clear" w:color="auto" w:fill="auto"/>
            <w:noWrap/>
            <w:vAlign w:val="bottom"/>
            <w:hideMark/>
          </w:tcPr>
          <w:p w:rsidR="0095167C" w:rsidRPr="0095167C" w:rsidRDefault="0095167C" w:rsidP="007F2CFF">
            <w:pPr>
              <w:jc w:val="right"/>
              <w:rPr>
                <w:rFonts w:ascii="Arial" w:hAnsi="Arial" w:cs="Arial"/>
                <w:sz w:val="16"/>
                <w:szCs w:val="16"/>
                <w:lang w:eastAsia="en-NZ"/>
              </w:rPr>
            </w:pPr>
            <w:r w:rsidRPr="00A56619">
              <w:rPr>
                <w:rFonts w:ascii="Arial" w:hAnsi="Arial" w:cs="Arial"/>
                <w:sz w:val="16"/>
                <w:szCs w:val="16"/>
              </w:rPr>
              <w:t>-</w:t>
            </w:r>
          </w:p>
        </w:tc>
        <w:tc>
          <w:tcPr>
            <w:tcW w:w="1565" w:type="dxa"/>
            <w:tcBorders>
              <w:top w:val="nil"/>
              <w:left w:val="nil"/>
              <w:bottom w:val="single" w:sz="8" w:space="0" w:color="auto"/>
              <w:right w:val="single" w:sz="8" w:space="0" w:color="auto"/>
            </w:tcBorders>
            <w:shd w:val="clear" w:color="auto" w:fill="auto"/>
            <w:noWrap/>
            <w:vAlign w:val="bottom"/>
            <w:hideMark/>
          </w:tcPr>
          <w:p w:rsidR="0095167C" w:rsidRPr="0095167C" w:rsidRDefault="0095167C" w:rsidP="007F2CFF">
            <w:pPr>
              <w:jc w:val="right"/>
              <w:rPr>
                <w:rFonts w:ascii="Arial" w:hAnsi="Arial" w:cs="Arial"/>
                <w:sz w:val="16"/>
                <w:szCs w:val="16"/>
                <w:lang w:eastAsia="en-NZ"/>
              </w:rPr>
            </w:pPr>
            <w:r w:rsidRPr="00A56619">
              <w:rPr>
                <w:rFonts w:ascii="Arial" w:hAnsi="Arial" w:cs="Arial"/>
                <w:sz w:val="16"/>
                <w:szCs w:val="16"/>
              </w:rPr>
              <w:t>-</w:t>
            </w:r>
          </w:p>
        </w:tc>
      </w:tr>
      <w:tr w:rsidR="00B514B3" w:rsidRPr="0095167C" w:rsidTr="00680FA7">
        <w:trPr>
          <w:cantSplit/>
          <w:trHeight w:val="276"/>
        </w:trPr>
        <w:tc>
          <w:tcPr>
            <w:tcW w:w="1479" w:type="dxa"/>
            <w:tcBorders>
              <w:top w:val="nil"/>
              <w:left w:val="single" w:sz="8" w:space="0" w:color="auto"/>
              <w:bottom w:val="single" w:sz="8" w:space="0" w:color="auto"/>
              <w:right w:val="single" w:sz="8" w:space="0" w:color="auto"/>
            </w:tcBorders>
            <w:shd w:val="clear" w:color="auto" w:fill="auto"/>
            <w:noWrap/>
            <w:hideMark/>
          </w:tcPr>
          <w:p w:rsidR="0095167C" w:rsidRPr="0095167C" w:rsidRDefault="0095167C" w:rsidP="008A7D76">
            <w:pPr>
              <w:jc w:val="left"/>
              <w:rPr>
                <w:rFonts w:ascii="Arial" w:hAnsi="Arial" w:cs="Arial"/>
                <w:sz w:val="16"/>
                <w:szCs w:val="16"/>
                <w:lang w:eastAsia="en-NZ"/>
              </w:rPr>
            </w:pPr>
            <w:r w:rsidRPr="0095167C">
              <w:rPr>
                <w:rFonts w:ascii="Arial" w:hAnsi="Arial" w:cs="Arial"/>
                <w:sz w:val="16"/>
                <w:szCs w:val="16"/>
                <w:lang w:eastAsia="en-NZ"/>
              </w:rPr>
              <w:t>Heavy fuel oil</w:t>
            </w:r>
          </w:p>
        </w:tc>
        <w:tc>
          <w:tcPr>
            <w:tcW w:w="1061" w:type="dxa"/>
            <w:tcBorders>
              <w:top w:val="nil"/>
              <w:left w:val="nil"/>
              <w:bottom w:val="single" w:sz="8" w:space="0" w:color="auto"/>
              <w:right w:val="single" w:sz="8" w:space="0" w:color="auto"/>
            </w:tcBorders>
            <w:shd w:val="clear" w:color="auto" w:fill="auto"/>
            <w:noWrap/>
            <w:hideMark/>
          </w:tcPr>
          <w:p w:rsidR="0095167C" w:rsidRPr="0095167C" w:rsidRDefault="0095167C" w:rsidP="008A7D76">
            <w:pPr>
              <w:jc w:val="left"/>
              <w:rPr>
                <w:rFonts w:ascii="Arial" w:hAnsi="Arial" w:cs="Arial"/>
                <w:sz w:val="16"/>
                <w:szCs w:val="16"/>
                <w:lang w:eastAsia="en-NZ"/>
              </w:rPr>
            </w:pPr>
            <w:r w:rsidRPr="0095167C">
              <w:rPr>
                <w:rFonts w:ascii="Arial" w:hAnsi="Arial" w:cs="Arial"/>
                <w:sz w:val="16"/>
                <w:szCs w:val="16"/>
                <w:lang w:eastAsia="en-NZ"/>
              </w:rPr>
              <w:t>Mobile use</w:t>
            </w:r>
          </w:p>
        </w:tc>
        <w:tc>
          <w:tcPr>
            <w:tcW w:w="560" w:type="dxa"/>
            <w:tcBorders>
              <w:top w:val="nil"/>
              <w:left w:val="nil"/>
              <w:bottom w:val="single" w:sz="8" w:space="0" w:color="auto"/>
              <w:right w:val="single" w:sz="8" w:space="0" w:color="auto"/>
            </w:tcBorders>
            <w:shd w:val="clear" w:color="auto" w:fill="auto"/>
            <w:noWrap/>
            <w:hideMark/>
          </w:tcPr>
          <w:p w:rsidR="0095167C" w:rsidRPr="0095167C" w:rsidRDefault="0095167C" w:rsidP="008A7D76">
            <w:pPr>
              <w:jc w:val="left"/>
              <w:rPr>
                <w:rFonts w:ascii="Arial" w:hAnsi="Arial" w:cs="Arial"/>
                <w:sz w:val="16"/>
                <w:szCs w:val="16"/>
                <w:lang w:eastAsia="en-NZ"/>
              </w:rPr>
            </w:pPr>
            <w:r w:rsidRPr="0095167C">
              <w:rPr>
                <w:rFonts w:ascii="Arial" w:hAnsi="Arial" w:cs="Arial"/>
                <w:sz w:val="16"/>
                <w:szCs w:val="16"/>
                <w:lang w:eastAsia="en-NZ"/>
              </w:rPr>
              <w:t>Litre</w:t>
            </w:r>
          </w:p>
        </w:tc>
        <w:tc>
          <w:tcPr>
            <w:tcW w:w="1021" w:type="dxa"/>
            <w:tcBorders>
              <w:top w:val="nil"/>
              <w:left w:val="nil"/>
              <w:bottom w:val="single" w:sz="8" w:space="0" w:color="auto"/>
              <w:right w:val="single" w:sz="8" w:space="0" w:color="auto"/>
            </w:tcBorders>
            <w:shd w:val="clear" w:color="auto" w:fill="auto"/>
            <w:noWrap/>
            <w:vAlign w:val="bottom"/>
            <w:hideMark/>
          </w:tcPr>
          <w:p w:rsidR="0095167C" w:rsidRPr="0095167C" w:rsidRDefault="0095167C" w:rsidP="008A7D76">
            <w:pPr>
              <w:jc w:val="center"/>
              <w:rPr>
                <w:rFonts w:ascii="Arial" w:hAnsi="Arial" w:cs="Arial"/>
                <w:sz w:val="16"/>
                <w:szCs w:val="16"/>
                <w:lang w:eastAsia="en-NZ"/>
              </w:rPr>
            </w:pPr>
            <w:r w:rsidRPr="00A56619">
              <w:rPr>
                <w:rFonts w:ascii="Arial" w:hAnsi="Arial" w:cs="Arial"/>
                <w:sz w:val="16"/>
                <w:szCs w:val="16"/>
              </w:rPr>
              <w:t>40.81</w:t>
            </w:r>
          </w:p>
        </w:tc>
        <w:tc>
          <w:tcPr>
            <w:tcW w:w="1469" w:type="dxa"/>
            <w:tcBorders>
              <w:top w:val="nil"/>
              <w:left w:val="nil"/>
              <w:bottom w:val="single" w:sz="8" w:space="0" w:color="auto"/>
              <w:right w:val="single" w:sz="8" w:space="0" w:color="auto"/>
            </w:tcBorders>
            <w:shd w:val="clear" w:color="auto" w:fill="auto"/>
            <w:noWrap/>
            <w:vAlign w:val="bottom"/>
            <w:hideMark/>
          </w:tcPr>
          <w:p w:rsidR="0095167C" w:rsidRPr="0095167C" w:rsidRDefault="0095167C" w:rsidP="007F2CFF">
            <w:pPr>
              <w:jc w:val="right"/>
              <w:rPr>
                <w:rFonts w:ascii="Arial" w:hAnsi="Arial" w:cs="Arial"/>
                <w:sz w:val="16"/>
                <w:szCs w:val="16"/>
                <w:lang w:eastAsia="en-NZ"/>
              </w:rPr>
            </w:pPr>
            <w:r w:rsidRPr="00A56619">
              <w:rPr>
                <w:rFonts w:ascii="Arial" w:hAnsi="Arial" w:cs="Arial"/>
                <w:sz w:val="16"/>
                <w:szCs w:val="16"/>
              </w:rPr>
              <w:t>73.72</w:t>
            </w:r>
          </w:p>
        </w:tc>
        <w:tc>
          <w:tcPr>
            <w:tcW w:w="1467" w:type="dxa"/>
            <w:tcBorders>
              <w:top w:val="nil"/>
              <w:left w:val="nil"/>
              <w:bottom w:val="single" w:sz="8" w:space="0" w:color="auto"/>
              <w:right w:val="single" w:sz="8" w:space="0" w:color="auto"/>
            </w:tcBorders>
            <w:shd w:val="clear" w:color="auto" w:fill="auto"/>
            <w:noWrap/>
            <w:vAlign w:val="bottom"/>
            <w:hideMark/>
          </w:tcPr>
          <w:p w:rsidR="0095167C" w:rsidRPr="0095167C" w:rsidRDefault="0095167C" w:rsidP="007F2CFF">
            <w:pPr>
              <w:jc w:val="right"/>
              <w:rPr>
                <w:rFonts w:ascii="Arial" w:hAnsi="Arial" w:cs="Arial"/>
                <w:sz w:val="16"/>
                <w:szCs w:val="16"/>
                <w:lang w:eastAsia="en-NZ"/>
              </w:rPr>
            </w:pPr>
            <w:r w:rsidRPr="00A56619">
              <w:rPr>
                <w:rFonts w:ascii="Arial" w:hAnsi="Arial" w:cs="Arial"/>
                <w:sz w:val="16"/>
                <w:szCs w:val="16"/>
              </w:rPr>
              <w:t>0.00665</w:t>
            </w:r>
          </w:p>
        </w:tc>
        <w:tc>
          <w:tcPr>
            <w:tcW w:w="1565" w:type="dxa"/>
            <w:tcBorders>
              <w:top w:val="nil"/>
              <w:left w:val="nil"/>
              <w:bottom w:val="single" w:sz="8" w:space="0" w:color="auto"/>
              <w:right w:val="single" w:sz="8" w:space="0" w:color="auto"/>
            </w:tcBorders>
            <w:shd w:val="clear" w:color="auto" w:fill="auto"/>
            <w:noWrap/>
            <w:vAlign w:val="bottom"/>
            <w:hideMark/>
          </w:tcPr>
          <w:p w:rsidR="0095167C" w:rsidRPr="0095167C" w:rsidRDefault="0080130C" w:rsidP="007F2CFF">
            <w:pPr>
              <w:jc w:val="right"/>
              <w:rPr>
                <w:rFonts w:ascii="Arial" w:hAnsi="Arial" w:cs="Arial"/>
                <w:sz w:val="16"/>
                <w:szCs w:val="16"/>
                <w:lang w:eastAsia="en-NZ"/>
              </w:rPr>
            </w:pPr>
            <w:r>
              <w:rPr>
                <w:rFonts w:ascii="Arial" w:hAnsi="Arial" w:cs="Arial"/>
                <w:sz w:val="16"/>
                <w:szCs w:val="16"/>
              </w:rPr>
              <w:t>0.0019</w:t>
            </w:r>
          </w:p>
        </w:tc>
      </w:tr>
      <w:tr w:rsidR="00B514B3" w:rsidRPr="0095167C" w:rsidTr="00680FA7">
        <w:trPr>
          <w:cantSplit/>
          <w:trHeight w:val="276"/>
        </w:trPr>
        <w:tc>
          <w:tcPr>
            <w:tcW w:w="1479" w:type="dxa"/>
            <w:tcBorders>
              <w:top w:val="nil"/>
              <w:left w:val="single" w:sz="8" w:space="0" w:color="auto"/>
              <w:bottom w:val="single" w:sz="8" w:space="0" w:color="auto"/>
              <w:right w:val="single" w:sz="8" w:space="0" w:color="auto"/>
            </w:tcBorders>
            <w:shd w:val="clear" w:color="auto" w:fill="auto"/>
            <w:noWrap/>
            <w:hideMark/>
          </w:tcPr>
          <w:p w:rsidR="0095167C" w:rsidRPr="0095167C" w:rsidRDefault="0095167C" w:rsidP="008A7D76">
            <w:pPr>
              <w:jc w:val="left"/>
              <w:rPr>
                <w:rFonts w:ascii="Arial" w:hAnsi="Arial" w:cs="Arial"/>
                <w:sz w:val="16"/>
                <w:szCs w:val="16"/>
                <w:lang w:eastAsia="en-NZ"/>
              </w:rPr>
            </w:pPr>
            <w:r w:rsidRPr="0095167C">
              <w:rPr>
                <w:rFonts w:ascii="Arial" w:hAnsi="Arial" w:cs="Arial"/>
                <w:sz w:val="16"/>
                <w:szCs w:val="16"/>
                <w:lang w:eastAsia="en-NZ"/>
              </w:rPr>
              <w:t>Light fuel oil</w:t>
            </w:r>
          </w:p>
        </w:tc>
        <w:tc>
          <w:tcPr>
            <w:tcW w:w="1061" w:type="dxa"/>
            <w:tcBorders>
              <w:top w:val="nil"/>
              <w:left w:val="nil"/>
              <w:bottom w:val="single" w:sz="8" w:space="0" w:color="auto"/>
              <w:right w:val="single" w:sz="8" w:space="0" w:color="auto"/>
            </w:tcBorders>
            <w:shd w:val="clear" w:color="auto" w:fill="auto"/>
            <w:noWrap/>
            <w:hideMark/>
          </w:tcPr>
          <w:p w:rsidR="0095167C" w:rsidRPr="0095167C" w:rsidRDefault="0095167C" w:rsidP="008A7D76">
            <w:pPr>
              <w:jc w:val="left"/>
              <w:rPr>
                <w:rFonts w:ascii="Arial" w:hAnsi="Arial" w:cs="Arial"/>
                <w:sz w:val="16"/>
                <w:szCs w:val="16"/>
                <w:lang w:eastAsia="en-NZ"/>
              </w:rPr>
            </w:pPr>
            <w:r w:rsidRPr="0095167C">
              <w:rPr>
                <w:rFonts w:ascii="Arial" w:hAnsi="Arial" w:cs="Arial"/>
                <w:sz w:val="16"/>
                <w:szCs w:val="16"/>
                <w:lang w:eastAsia="en-NZ"/>
              </w:rPr>
              <w:t>Mobile use</w:t>
            </w:r>
          </w:p>
        </w:tc>
        <w:tc>
          <w:tcPr>
            <w:tcW w:w="560" w:type="dxa"/>
            <w:tcBorders>
              <w:top w:val="nil"/>
              <w:left w:val="nil"/>
              <w:bottom w:val="single" w:sz="8" w:space="0" w:color="auto"/>
              <w:right w:val="single" w:sz="8" w:space="0" w:color="auto"/>
            </w:tcBorders>
            <w:shd w:val="clear" w:color="auto" w:fill="auto"/>
            <w:noWrap/>
            <w:hideMark/>
          </w:tcPr>
          <w:p w:rsidR="0095167C" w:rsidRPr="0095167C" w:rsidRDefault="0095167C" w:rsidP="008A7D76">
            <w:pPr>
              <w:jc w:val="left"/>
              <w:rPr>
                <w:rFonts w:ascii="Arial" w:hAnsi="Arial" w:cs="Arial"/>
                <w:sz w:val="16"/>
                <w:szCs w:val="16"/>
                <w:lang w:eastAsia="en-NZ"/>
              </w:rPr>
            </w:pPr>
            <w:r w:rsidRPr="0095167C">
              <w:rPr>
                <w:rFonts w:ascii="Arial" w:hAnsi="Arial" w:cs="Arial"/>
                <w:sz w:val="16"/>
                <w:szCs w:val="16"/>
                <w:lang w:eastAsia="en-NZ"/>
              </w:rPr>
              <w:t>Litre</w:t>
            </w:r>
          </w:p>
        </w:tc>
        <w:tc>
          <w:tcPr>
            <w:tcW w:w="1021" w:type="dxa"/>
            <w:tcBorders>
              <w:top w:val="nil"/>
              <w:left w:val="nil"/>
              <w:bottom w:val="single" w:sz="8" w:space="0" w:color="auto"/>
              <w:right w:val="single" w:sz="8" w:space="0" w:color="auto"/>
            </w:tcBorders>
            <w:shd w:val="clear" w:color="auto" w:fill="auto"/>
            <w:noWrap/>
            <w:vAlign w:val="bottom"/>
            <w:hideMark/>
          </w:tcPr>
          <w:p w:rsidR="0095167C" w:rsidRPr="0095167C" w:rsidRDefault="0095167C" w:rsidP="00907AF8">
            <w:pPr>
              <w:jc w:val="center"/>
              <w:rPr>
                <w:rFonts w:ascii="Arial" w:hAnsi="Arial" w:cs="Arial"/>
                <w:sz w:val="16"/>
                <w:szCs w:val="16"/>
                <w:lang w:eastAsia="en-NZ"/>
              </w:rPr>
            </w:pPr>
            <w:r w:rsidRPr="00A56619">
              <w:rPr>
                <w:rFonts w:ascii="Arial" w:hAnsi="Arial" w:cs="Arial"/>
                <w:sz w:val="16"/>
                <w:szCs w:val="16"/>
              </w:rPr>
              <w:t>40.44</w:t>
            </w:r>
          </w:p>
        </w:tc>
        <w:tc>
          <w:tcPr>
            <w:tcW w:w="1469" w:type="dxa"/>
            <w:tcBorders>
              <w:top w:val="nil"/>
              <w:left w:val="nil"/>
              <w:bottom w:val="single" w:sz="8" w:space="0" w:color="auto"/>
              <w:right w:val="single" w:sz="8" w:space="0" w:color="auto"/>
            </w:tcBorders>
            <w:shd w:val="clear" w:color="auto" w:fill="auto"/>
            <w:noWrap/>
            <w:vAlign w:val="bottom"/>
            <w:hideMark/>
          </w:tcPr>
          <w:p w:rsidR="0095167C" w:rsidRPr="0095167C" w:rsidRDefault="0095167C" w:rsidP="007F2CFF">
            <w:pPr>
              <w:jc w:val="right"/>
              <w:rPr>
                <w:rFonts w:ascii="Arial" w:hAnsi="Arial" w:cs="Arial"/>
                <w:sz w:val="16"/>
                <w:szCs w:val="16"/>
                <w:lang w:eastAsia="en-NZ"/>
              </w:rPr>
            </w:pPr>
            <w:r w:rsidRPr="00A56619">
              <w:rPr>
                <w:rFonts w:ascii="Arial" w:hAnsi="Arial" w:cs="Arial"/>
                <w:sz w:val="16"/>
                <w:szCs w:val="16"/>
              </w:rPr>
              <w:t>72.84</w:t>
            </w:r>
          </w:p>
        </w:tc>
        <w:tc>
          <w:tcPr>
            <w:tcW w:w="1467" w:type="dxa"/>
            <w:tcBorders>
              <w:top w:val="nil"/>
              <w:left w:val="nil"/>
              <w:bottom w:val="single" w:sz="8" w:space="0" w:color="auto"/>
              <w:right w:val="single" w:sz="8" w:space="0" w:color="auto"/>
            </w:tcBorders>
            <w:shd w:val="clear" w:color="auto" w:fill="auto"/>
            <w:noWrap/>
            <w:vAlign w:val="bottom"/>
            <w:hideMark/>
          </w:tcPr>
          <w:p w:rsidR="0095167C" w:rsidRPr="0095167C" w:rsidRDefault="0095167C" w:rsidP="007F2CFF">
            <w:pPr>
              <w:jc w:val="right"/>
              <w:rPr>
                <w:rFonts w:ascii="Arial" w:hAnsi="Arial" w:cs="Arial"/>
                <w:sz w:val="16"/>
                <w:szCs w:val="16"/>
                <w:lang w:eastAsia="en-NZ"/>
              </w:rPr>
            </w:pPr>
            <w:r w:rsidRPr="00A56619">
              <w:rPr>
                <w:rFonts w:ascii="Arial" w:hAnsi="Arial" w:cs="Arial"/>
                <w:sz w:val="16"/>
                <w:szCs w:val="16"/>
              </w:rPr>
              <w:t>0.00665</w:t>
            </w:r>
          </w:p>
        </w:tc>
        <w:tc>
          <w:tcPr>
            <w:tcW w:w="1565" w:type="dxa"/>
            <w:tcBorders>
              <w:top w:val="nil"/>
              <w:left w:val="nil"/>
              <w:bottom w:val="single" w:sz="8" w:space="0" w:color="auto"/>
              <w:right w:val="single" w:sz="8" w:space="0" w:color="auto"/>
            </w:tcBorders>
            <w:shd w:val="clear" w:color="auto" w:fill="auto"/>
            <w:noWrap/>
            <w:vAlign w:val="bottom"/>
            <w:hideMark/>
          </w:tcPr>
          <w:p w:rsidR="0095167C" w:rsidRPr="0095167C" w:rsidRDefault="0080130C" w:rsidP="007F2CFF">
            <w:pPr>
              <w:jc w:val="right"/>
              <w:rPr>
                <w:rFonts w:ascii="Arial" w:hAnsi="Arial" w:cs="Arial"/>
                <w:sz w:val="16"/>
                <w:szCs w:val="16"/>
                <w:lang w:eastAsia="en-NZ"/>
              </w:rPr>
            </w:pPr>
            <w:r>
              <w:rPr>
                <w:rFonts w:ascii="Arial" w:hAnsi="Arial" w:cs="Arial"/>
                <w:sz w:val="16"/>
                <w:szCs w:val="16"/>
              </w:rPr>
              <w:t>0.0019</w:t>
            </w:r>
          </w:p>
        </w:tc>
      </w:tr>
    </w:tbl>
    <w:p w:rsidR="008A7D76" w:rsidRPr="00D506FC" w:rsidRDefault="008A7D76" w:rsidP="008A7D76">
      <w:pPr>
        <w:rPr>
          <w:rFonts w:ascii="Arial" w:hAnsi="Arial" w:cs="Arial"/>
          <w:sz w:val="16"/>
          <w:szCs w:val="16"/>
        </w:rPr>
      </w:pPr>
    </w:p>
    <w:p w:rsidR="00EC1311" w:rsidRDefault="00F7396F" w:rsidP="008A0AFC">
      <w:pPr>
        <w:jc w:val="left"/>
      </w:pPr>
      <w:r>
        <w:t xml:space="preserve">Table </w:t>
      </w:r>
      <w:r w:rsidR="002C2D20">
        <w:t>11</w:t>
      </w:r>
      <w:r w:rsidR="002C2D20" w:rsidRPr="000F1882">
        <w:t xml:space="preserve"> </w:t>
      </w:r>
      <w:r w:rsidR="009E3385" w:rsidRPr="000F1882">
        <w:t>contains the GWPs for CO</w:t>
      </w:r>
      <w:r w:rsidR="009E3385" w:rsidRPr="000F1882">
        <w:rPr>
          <w:szCs w:val="22"/>
          <w:vertAlign w:val="subscript"/>
        </w:rPr>
        <w:t>2</w:t>
      </w:r>
      <w:r w:rsidR="009E3385" w:rsidRPr="000F1882">
        <w:t>, CH</w:t>
      </w:r>
      <w:r w:rsidR="009E3385" w:rsidRPr="000F1882">
        <w:rPr>
          <w:szCs w:val="22"/>
          <w:vertAlign w:val="subscript"/>
        </w:rPr>
        <w:t>4</w:t>
      </w:r>
      <w:r w:rsidR="009E3385" w:rsidRPr="000F1882">
        <w:t xml:space="preserve"> and N</w:t>
      </w:r>
      <w:r w:rsidR="009E3385" w:rsidRPr="000F1882">
        <w:rPr>
          <w:szCs w:val="22"/>
          <w:vertAlign w:val="subscript"/>
        </w:rPr>
        <w:t>2</w:t>
      </w:r>
      <w:r w:rsidR="009E3385" w:rsidRPr="000F1882">
        <w:t>O that have been used in converting to CO</w:t>
      </w:r>
      <w:r w:rsidR="009E3385" w:rsidRPr="000F1882">
        <w:rPr>
          <w:szCs w:val="22"/>
          <w:vertAlign w:val="subscript"/>
        </w:rPr>
        <w:t>2</w:t>
      </w:r>
      <w:r>
        <w:t> </w:t>
      </w:r>
      <w:r w:rsidR="009E3385" w:rsidRPr="000F1882">
        <w:t>equivalent emission factors</w:t>
      </w:r>
      <w:r w:rsidR="009E3385">
        <w:t>, based on the IPCC</w:t>
      </w:r>
      <w:r w:rsidR="00EC1311">
        <w:t>’</w:t>
      </w:r>
      <w:r w:rsidR="009E3385">
        <w:t xml:space="preserve">s </w:t>
      </w:r>
      <w:r w:rsidR="007E1BB6">
        <w:t>Forth</w:t>
      </w:r>
      <w:r w:rsidR="009E3385">
        <w:t xml:space="preserve"> Assessment Report</w:t>
      </w:r>
      <w:r w:rsidR="009339C3">
        <w:t xml:space="preserve"> (</w:t>
      </w:r>
      <w:r w:rsidR="00BC21E5">
        <w:t>2007</w:t>
      </w:r>
      <w:r w:rsidR="009339C3">
        <w:t>)</w:t>
      </w:r>
      <w:r w:rsidR="009E3385">
        <w:t>.</w:t>
      </w:r>
    </w:p>
    <w:p w:rsidR="009E3385" w:rsidRPr="000F1882" w:rsidRDefault="009E3385" w:rsidP="008A0AFC">
      <w:pPr>
        <w:pStyle w:val="Table"/>
      </w:pPr>
      <w:bookmarkStart w:id="235" w:name="_Ref185309251"/>
      <w:bookmarkStart w:id="236" w:name="_Toc210024157"/>
      <w:bookmarkStart w:id="237" w:name="_Toc289084092"/>
      <w:bookmarkStart w:id="238" w:name="_Toc469577150"/>
      <w:r w:rsidRPr="000F1882">
        <w:lastRenderedPageBreak/>
        <w:t xml:space="preserve">Table </w:t>
      </w:r>
      <w:bookmarkEnd w:id="235"/>
      <w:r w:rsidR="002C2D20">
        <w:t>1</w:t>
      </w:r>
      <w:r w:rsidR="004117B6">
        <w:t>2</w:t>
      </w:r>
      <w:r w:rsidRPr="000F1882">
        <w:t>:</w:t>
      </w:r>
      <w:r w:rsidRPr="000F1882">
        <w:tab/>
        <w:t xml:space="preserve">Global </w:t>
      </w:r>
      <w:r>
        <w:t>w</w:t>
      </w:r>
      <w:r w:rsidRPr="000F1882">
        <w:t xml:space="preserve">arming </w:t>
      </w:r>
      <w:r>
        <w:t>p</w:t>
      </w:r>
      <w:r w:rsidRPr="000F1882">
        <w:t>otentials for CO</w:t>
      </w:r>
      <w:r w:rsidRPr="000F1882">
        <w:rPr>
          <w:vertAlign w:val="subscript"/>
        </w:rPr>
        <w:t>2</w:t>
      </w:r>
      <w:r w:rsidRPr="000F1882">
        <w:t>, CH</w:t>
      </w:r>
      <w:r w:rsidRPr="000F1882">
        <w:rPr>
          <w:vertAlign w:val="subscript"/>
        </w:rPr>
        <w:t>4</w:t>
      </w:r>
      <w:r w:rsidRPr="000F1882">
        <w:t xml:space="preserve"> and N</w:t>
      </w:r>
      <w:r w:rsidRPr="000F1882">
        <w:rPr>
          <w:vertAlign w:val="subscript"/>
        </w:rPr>
        <w:t>2</w:t>
      </w:r>
      <w:r w:rsidRPr="000F1882">
        <w:t>O</w:t>
      </w:r>
      <w:bookmarkEnd w:id="236"/>
      <w:bookmarkEnd w:id="237"/>
      <w:r w:rsidR="009339C3">
        <w:t xml:space="preserve"> (100</w:t>
      </w:r>
      <w:r w:rsidR="00B46012">
        <w:t>-</w:t>
      </w:r>
      <w:r w:rsidR="009339C3">
        <w:t>year time horizon)</w:t>
      </w:r>
      <w:bookmarkEnd w:id="238"/>
    </w:p>
    <w:tbl>
      <w:tblPr>
        <w:tblpPr w:leftFromText="180" w:rightFromText="180" w:vertAnchor="text" w:tblpY="1"/>
        <w:tblOverlap w:val="neve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985"/>
        <w:gridCol w:w="897"/>
        <w:gridCol w:w="898"/>
        <w:gridCol w:w="898"/>
      </w:tblGrid>
      <w:tr w:rsidR="009E3385" w:rsidRPr="00F7396F" w:rsidTr="008A7D76">
        <w:trPr>
          <w:cantSplit/>
        </w:trPr>
        <w:tc>
          <w:tcPr>
            <w:tcW w:w="1985" w:type="dxa"/>
            <w:shd w:val="clear" w:color="auto" w:fill="D9D9D9"/>
            <w:noWrap/>
          </w:tcPr>
          <w:p w:rsidR="009E3385" w:rsidRPr="00F7396F" w:rsidRDefault="009E3385" w:rsidP="008A0AFC">
            <w:pPr>
              <w:pStyle w:val="TableText"/>
              <w:rPr>
                <w:b/>
                <w:lang w:eastAsia="en-GB"/>
              </w:rPr>
            </w:pPr>
          </w:p>
        </w:tc>
        <w:tc>
          <w:tcPr>
            <w:tcW w:w="897" w:type="dxa"/>
            <w:shd w:val="clear" w:color="auto" w:fill="D9D9D9"/>
            <w:noWrap/>
          </w:tcPr>
          <w:p w:rsidR="009E3385" w:rsidRPr="00F7396F" w:rsidRDefault="009E3385" w:rsidP="008A0AFC">
            <w:pPr>
              <w:pStyle w:val="TableText"/>
              <w:rPr>
                <w:b/>
                <w:bCs/>
                <w:lang w:eastAsia="en-GB"/>
              </w:rPr>
            </w:pPr>
            <w:r w:rsidRPr="00F7396F">
              <w:rPr>
                <w:b/>
                <w:bCs/>
                <w:lang w:eastAsia="en-GB"/>
              </w:rPr>
              <w:t>CO</w:t>
            </w:r>
            <w:r w:rsidRPr="00F7396F">
              <w:rPr>
                <w:b/>
                <w:bCs/>
                <w:szCs w:val="16"/>
                <w:vertAlign w:val="subscript"/>
                <w:lang w:eastAsia="en-GB"/>
              </w:rPr>
              <w:t>2</w:t>
            </w:r>
          </w:p>
        </w:tc>
        <w:tc>
          <w:tcPr>
            <w:tcW w:w="898" w:type="dxa"/>
            <w:shd w:val="clear" w:color="auto" w:fill="D9D9D9"/>
            <w:noWrap/>
          </w:tcPr>
          <w:p w:rsidR="009E3385" w:rsidRPr="00F7396F" w:rsidRDefault="009E3385" w:rsidP="008A0AFC">
            <w:pPr>
              <w:pStyle w:val="TableText"/>
              <w:rPr>
                <w:b/>
                <w:bCs/>
                <w:lang w:eastAsia="en-GB"/>
              </w:rPr>
            </w:pPr>
            <w:r w:rsidRPr="00F7396F">
              <w:rPr>
                <w:b/>
                <w:bCs/>
                <w:lang w:eastAsia="en-GB"/>
              </w:rPr>
              <w:t>CH</w:t>
            </w:r>
            <w:r w:rsidRPr="00F7396F">
              <w:rPr>
                <w:b/>
                <w:bCs/>
                <w:szCs w:val="16"/>
                <w:vertAlign w:val="subscript"/>
                <w:lang w:eastAsia="en-GB"/>
              </w:rPr>
              <w:t>4</w:t>
            </w:r>
          </w:p>
        </w:tc>
        <w:tc>
          <w:tcPr>
            <w:tcW w:w="898" w:type="dxa"/>
            <w:shd w:val="clear" w:color="auto" w:fill="D9D9D9"/>
            <w:noWrap/>
          </w:tcPr>
          <w:p w:rsidR="009E3385" w:rsidRPr="00F7396F" w:rsidRDefault="009E3385" w:rsidP="008A0AFC">
            <w:pPr>
              <w:pStyle w:val="TableText"/>
              <w:rPr>
                <w:b/>
                <w:bCs/>
                <w:lang w:eastAsia="en-GB"/>
              </w:rPr>
            </w:pPr>
            <w:r w:rsidRPr="00F7396F">
              <w:rPr>
                <w:b/>
                <w:bCs/>
                <w:lang w:eastAsia="en-GB"/>
              </w:rPr>
              <w:t>N</w:t>
            </w:r>
            <w:r w:rsidRPr="00F7396F">
              <w:rPr>
                <w:b/>
                <w:bCs/>
                <w:szCs w:val="16"/>
                <w:vertAlign w:val="subscript"/>
                <w:lang w:eastAsia="en-GB"/>
              </w:rPr>
              <w:t>2</w:t>
            </w:r>
            <w:r w:rsidRPr="00F7396F">
              <w:rPr>
                <w:b/>
                <w:bCs/>
                <w:lang w:eastAsia="en-GB"/>
              </w:rPr>
              <w:t>O</w:t>
            </w:r>
          </w:p>
        </w:tc>
      </w:tr>
      <w:tr w:rsidR="009E3385" w:rsidRPr="000F1882" w:rsidTr="008A7D76">
        <w:trPr>
          <w:cantSplit/>
        </w:trPr>
        <w:tc>
          <w:tcPr>
            <w:tcW w:w="1985" w:type="dxa"/>
            <w:shd w:val="clear" w:color="auto" w:fill="auto"/>
            <w:noWrap/>
          </w:tcPr>
          <w:p w:rsidR="009E3385" w:rsidRPr="000F1882" w:rsidRDefault="009E3385" w:rsidP="008A0AFC">
            <w:pPr>
              <w:pStyle w:val="TableText"/>
              <w:rPr>
                <w:lang w:eastAsia="en-GB"/>
              </w:rPr>
            </w:pPr>
            <w:r w:rsidRPr="000F1882">
              <w:rPr>
                <w:lang w:eastAsia="en-GB"/>
              </w:rPr>
              <w:t xml:space="preserve">Global </w:t>
            </w:r>
            <w:r>
              <w:rPr>
                <w:lang w:eastAsia="en-GB"/>
              </w:rPr>
              <w:t>w</w:t>
            </w:r>
            <w:r w:rsidRPr="000F1882">
              <w:rPr>
                <w:lang w:eastAsia="en-GB"/>
              </w:rPr>
              <w:t xml:space="preserve">arming </w:t>
            </w:r>
            <w:r>
              <w:rPr>
                <w:lang w:eastAsia="en-GB"/>
              </w:rPr>
              <w:t>p</w:t>
            </w:r>
            <w:r w:rsidRPr="000F1882">
              <w:rPr>
                <w:lang w:eastAsia="en-GB"/>
              </w:rPr>
              <w:t>otential</w:t>
            </w:r>
          </w:p>
        </w:tc>
        <w:tc>
          <w:tcPr>
            <w:tcW w:w="897" w:type="dxa"/>
            <w:shd w:val="clear" w:color="auto" w:fill="auto"/>
            <w:noWrap/>
          </w:tcPr>
          <w:p w:rsidR="009E3385" w:rsidRPr="000F1882" w:rsidRDefault="009E3385" w:rsidP="00306836">
            <w:pPr>
              <w:pStyle w:val="TableText"/>
              <w:jc w:val="right"/>
              <w:rPr>
                <w:lang w:eastAsia="en-GB"/>
              </w:rPr>
            </w:pPr>
            <w:r w:rsidRPr="000F1882">
              <w:rPr>
                <w:lang w:eastAsia="en-GB"/>
              </w:rPr>
              <w:t>1</w:t>
            </w:r>
          </w:p>
        </w:tc>
        <w:tc>
          <w:tcPr>
            <w:tcW w:w="898" w:type="dxa"/>
            <w:shd w:val="clear" w:color="auto" w:fill="auto"/>
            <w:noWrap/>
          </w:tcPr>
          <w:p w:rsidR="009E3385" w:rsidRPr="000F1882" w:rsidRDefault="009E3385" w:rsidP="00306836">
            <w:pPr>
              <w:pStyle w:val="TableText"/>
              <w:jc w:val="right"/>
              <w:rPr>
                <w:lang w:eastAsia="en-GB"/>
              </w:rPr>
            </w:pPr>
            <w:r w:rsidRPr="000F1882">
              <w:rPr>
                <w:lang w:eastAsia="en-GB"/>
              </w:rPr>
              <w:t>2</w:t>
            </w:r>
            <w:r w:rsidR="001368E6">
              <w:rPr>
                <w:lang w:eastAsia="en-GB"/>
              </w:rPr>
              <w:t>5</w:t>
            </w:r>
          </w:p>
        </w:tc>
        <w:tc>
          <w:tcPr>
            <w:tcW w:w="898" w:type="dxa"/>
            <w:shd w:val="clear" w:color="auto" w:fill="auto"/>
            <w:noWrap/>
          </w:tcPr>
          <w:p w:rsidR="009E3385" w:rsidRPr="000F1882" w:rsidRDefault="00BC21E5" w:rsidP="00306836">
            <w:pPr>
              <w:pStyle w:val="TableText"/>
              <w:jc w:val="right"/>
              <w:rPr>
                <w:lang w:eastAsia="en-GB"/>
              </w:rPr>
            </w:pPr>
            <w:r>
              <w:rPr>
                <w:lang w:eastAsia="en-GB"/>
              </w:rPr>
              <w:t>298</w:t>
            </w:r>
          </w:p>
        </w:tc>
      </w:tr>
    </w:tbl>
    <w:p w:rsidR="009E3385" w:rsidRPr="000F1882" w:rsidRDefault="008A7D76" w:rsidP="008A0AFC">
      <w:pPr>
        <w:jc w:val="left"/>
      </w:pPr>
      <w:r>
        <w:br w:type="textWrapping" w:clear="all"/>
      </w:r>
    </w:p>
    <w:p w:rsidR="009E3385" w:rsidRPr="000F1882" w:rsidRDefault="009E3385" w:rsidP="008A0AFC">
      <w:pPr>
        <w:pStyle w:val="Heading4"/>
        <w:jc w:val="left"/>
      </w:pPr>
      <w:bookmarkStart w:id="239" w:name="_Toc185407863"/>
      <w:bookmarkStart w:id="240" w:name="_Toc185408079"/>
      <w:bookmarkStart w:id="241" w:name="_Toc209933006"/>
      <w:bookmarkStart w:id="242" w:name="_Toc210026943"/>
      <w:bookmarkStart w:id="243" w:name="_Toc242242689"/>
      <w:bookmarkStart w:id="244" w:name="_Toc242242933"/>
      <w:r w:rsidRPr="000F1882">
        <w:t>Example derivation of emission factors</w:t>
      </w:r>
      <w:bookmarkEnd w:id="239"/>
      <w:bookmarkEnd w:id="240"/>
      <w:bookmarkEnd w:id="241"/>
      <w:bookmarkEnd w:id="242"/>
      <w:bookmarkEnd w:id="243"/>
      <w:bookmarkEnd w:id="244"/>
    </w:p>
    <w:p w:rsidR="009E3385" w:rsidRPr="009F72B3" w:rsidRDefault="009E3385" w:rsidP="008A0AFC">
      <w:pPr>
        <w:jc w:val="left"/>
      </w:pPr>
      <w:r w:rsidRPr="009F72B3">
        <w:t>The sub-bituminous coal emission factors for commercial use are derived as follows</w:t>
      </w:r>
      <w:r w:rsidR="00212CC9" w:rsidRPr="009F72B3">
        <w:t>:</w:t>
      </w:r>
      <w:r w:rsidRPr="009F72B3">
        <w:rPr>
          <w:rStyle w:val="FootnoteReference"/>
        </w:rPr>
        <w:footnoteReference w:id="17"/>
      </w:r>
    </w:p>
    <w:p w:rsidR="00EC1311" w:rsidRPr="009F72B3" w:rsidRDefault="009E3385" w:rsidP="008A0AFC">
      <w:pPr>
        <w:tabs>
          <w:tab w:val="left" w:pos="4253"/>
          <w:tab w:val="left" w:pos="4536"/>
        </w:tabs>
        <w:spacing w:before="120"/>
        <w:ind w:left="4536" w:hanging="4139"/>
        <w:jc w:val="left"/>
      </w:pPr>
      <w:r w:rsidRPr="009F72B3">
        <w:t>CO</w:t>
      </w:r>
      <w:r w:rsidRPr="009F72B3">
        <w:rPr>
          <w:szCs w:val="22"/>
          <w:vertAlign w:val="subscript"/>
        </w:rPr>
        <w:t>2</w:t>
      </w:r>
      <w:r w:rsidRPr="009F72B3">
        <w:t xml:space="preserve"> emission factor (kg CO</w:t>
      </w:r>
      <w:r w:rsidRPr="009F72B3">
        <w:rPr>
          <w:szCs w:val="22"/>
          <w:vertAlign w:val="subscript"/>
        </w:rPr>
        <w:t>2</w:t>
      </w:r>
      <w:r w:rsidRPr="009F72B3">
        <w:t>/kg)</w:t>
      </w:r>
      <w:r w:rsidRPr="009F72B3">
        <w:rPr>
          <w:rStyle w:val="FootnoteReference"/>
        </w:rPr>
        <w:footnoteReference w:id="18"/>
      </w:r>
      <w:r w:rsidR="00212CC9" w:rsidRPr="009F72B3">
        <w:tab/>
      </w:r>
      <w:r w:rsidRPr="009F72B3">
        <w:t>=</w:t>
      </w:r>
      <w:r w:rsidR="00212CC9" w:rsidRPr="009F72B3">
        <w:tab/>
      </w:r>
      <w:r w:rsidRPr="009F72B3">
        <w:t>(Calorific value</w:t>
      </w:r>
      <w:r w:rsidR="00372781">
        <w:t xml:space="preserve"> x</w:t>
      </w:r>
      <w:r w:rsidRPr="009F72B3">
        <w:t>TCO</w:t>
      </w:r>
      <w:r w:rsidRPr="009F72B3">
        <w:rPr>
          <w:szCs w:val="22"/>
          <w:vertAlign w:val="subscript"/>
        </w:rPr>
        <w:t>2</w:t>
      </w:r>
      <w:r w:rsidRPr="009F72B3">
        <w:t xml:space="preserve"> per TJ emission factor)/1000</w:t>
      </w:r>
    </w:p>
    <w:p w:rsidR="009E3385" w:rsidRPr="009F72B3" w:rsidRDefault="00212CC9" w:rsidP="008A0AFC">
      <w:pPr>
        <w:tabs>
          <w:tab w:val="left" w:pos="4253"/>
          <w:tab w:val="left" w:pos="4536"/>
        </w:tabs>
        <w:ind w:left="397"/>
        <w:jc w:val="left"/>
      </w:pPr>
      <w:r w:rsidRPr="009F72B3">
        <w:tab/>
      </w:r>
      <w:r w:rsidR="009E3385" w:rsidRPr="009F72B3">
        <w:t>=</w:t>
      </w:r>
      <w:r w:rsidRPr="009F72B3">
        <w:tab/>
      </w:r>
      <w:r w:rsidR="009E3385" w:rsidRPr="009F72B3">
        <w:t>(</w:t>
      </w:r>
      <w:r w:rsidR="00A11054">
        <w:rPr>
          <w:rFonts w:cs="Arial"/>
          <w:szCs w:val="22"/>
        </w:rPr>
        <w:t>21.</w:t>
      </w:r>
      <w:r w:rsidR="002344EE">
        <w:rPr>
          <w:rFonts w:cs="Arial"/>
          <w:szCs w:val="22"/>
        </w:rPr>
        <w:t>59</w:t>
      </w:r>
      <w:r w:rsidR="00372781">
        <w:t>x</w:t>
      </w:r>
      <w:r w:rsidR="002344EE">
        <w:t>91.99</w:t>
      </w:r>
      <w:r w:rsidR="009E3385" w:rsidRPr="009F72B3">
        <w:t>)/1000</w:t>
      </w:r>
    </w:p>
    <w:p w:rsidR="009E3385" w:rsidRPr="009F72B3" w:rsidRDefault="00212CC9" w:rsidP="008A0AFC">
      <w:pPr>
        <w:tabs>
          <w:tab w:val="left" w:pos="4253"/>
          <w:tab w:val="left" w:pos="4536"/>
        </w:tabs>
        <w:ind w:left="397"/>
        <w:jc w:val="left"/>
      </w:pPr>
      <w:r w:rsidRPr="009F72B3">
        <w:tab/>
      </w:r>
      <w:r w:rsidR="009E3385" w:rsidRPr="009F72B3">
        <w:t>=</w:t>
      </w:r>
      <w:r w:rsidRPr="009F72B3">
        <w:tab/>
      </w:r>
      <w:r w:rsidR="008403FD">
        <w:t>1.9</w:t>
      </w:r>
      <w:r w:rsidR="00AD515A">
        <w:t>9</w:t>
      </w:r>
      <w:r w:rsidR="009E3385" w:rsidRPr="009F72B3">
        <w:t xml:space="preserve"> kg CO</w:t>
      </w:r>
      <w:r w:rsidR="009E3385" w:rsidRPr="009F72B3">
        <w:rPr>
          <w:szCs w:val="22"/>
          <w:vertAlign w:val="subscript"/>
        </w:rPr>
        <w:t>2</w:t>
      </w:r>
      <w:r w:rsidR="009E3385" w:rsidRPr="009F72B3">
        <w:t>/kg coal</w:t>
      </w:r>
    </w:p>
    <w:p w:rsidR="009E3385" w:rsidRPr="009F72B3" w:rsidRDefault="009E3385" w:rsidP="008A0AFC">
      <w:pPr>
        <w:tabs>
          <w:tab w:val="left" w:pos="4253"/>
          <w:tab w:val="left" w:pos="4536"/>
        </w:tabs>
        <w:spacing w:before="120"/>
        <w:ind w:left="4536" w:hanging="4139"/>
        <w:jc w:val="left"/>
      </w:pPr>
      <w:r w:rsidRPr="009F72B3">
        <w:t>CH</w:t>
      </w:r>
      <w:r w:rsidRPr="009F72B3">
        <w:rPr>
          <w:szCs w:val="22"/>
          <w:vertAlign w:val="subscript"/>
        </w:rPr>
        <w:t>4</w:t>
      </w:r>
      <w:r w:rsidRPr="009F72B3">
        <w:t xml:space="preserve"> emission factor (kg CO</w:t>
      </w:r>
      <w:r w:rsidRPr="009F72B3">
        <w:rPr>
          <w:szCs w:val="22"/>
          <w:vertAlign w:val="subscript"/>
        </w:rPr>
        <w:t>2</w:t>
      </w:r>
      <w:r w:rsidRPr="009F72B3">
        <w:t>-e/kg)</w:t>
      </w:r>
      <w:r w:rsidR="00212CC9" w:rsidRPr="009F72B3">
        <w:tab/>
      </w:r>
      <w:r w:rsidRPr="009F72B3">
        <w:t>=</w:t>
      </w:r>
      <w:r w:rsidR="00212CC9" w:rsidRPr="009F72B3">
        <w:tab/>
      </w:r>
      <w:r w:rsidRPr="009F72B3">
        <w:t>[(Calorific value</w:t>
      </w:r>
      <w:r w:rsidR="00372781">
        <w:t xml:space="preserve"> x </w:t>
      </w:r>
      <w:r w:rsidRPr="009F72B3">
        <w:t>TCH</w:t>
      </w:r>
      <w:r w:rsidRPr="009F72B3">
        <w:rPr>
          <w:szCs w:val="22"/>
          <w:vertAlign w:val="subscript"/>
        </w:rPr>
        <w:t>4</w:t>
      </w:r>
      <w:r w:rsidRPr="009F72B3">
        <w:t xml:space="preserve"> per TJ emission factor)</w:t>
      </w:r>
      <w:r w:rsidR="00372781">
        <w:t xml:space="preserve"> x </w:t>
      </w:r>
      <w:r w:rsidRPr="009F72B3">
        <w:t>GWP of CH</w:t>
      </w:r>
      <w:r w:rsidRPr="009F72B3">
        <w:rPr>
          <w:szCs w:val="22"/>
          <w:vertAlign w:val="subscript"/>
        </w:rPr>
        <w:t>4</w:t>
      </w:r>
      <w:r w:rsidRPr="009F72B3">
        <w:t>]/1000</w:t>
      </w:r>
    </w:p>
    <w:p w:rsidR="009E3385" w:rsidRPr="009F72B3" w:rsidRDefault="00212CC9" w:rsidP="008A0AFC">
      <w:pPr>
        <w:tabs>
          <w:tab w:val="left" w:pos="4253"/>
          <w:tab w:val="left" w:pos="4536"/>
        </w:tabs>
        <w:ind w:left="397"/>
        <w:jc w:val="left"/>
      </w:pPr>
      <w:r w:rsidRPr="009F72B3">
        <w:tab/>
      </w:r>
      <w:r w:rsidR="009E3385" w:rsidRPr="009F72B3">
        <w:t>=</w:t>
      </w:r>
      <w:r w:rsidRPr="009F72B3">
        <w:tab/>
      </w:r>
      <w:r w:rsidR="009E3385" w:rsidRPr="009F72B3">
        <w:t>[(</w:t>
      </w:r>
      <w:r w:rsidR="008403FD">
        <w:t>21.</w:t>
      </w:r>
      <w:r w:rsidR="002344EE">
        <w:t>59</w:t>
      </w:r>
      <w:r w:rsidR="00372781">
        <w:t xml:space="preserve"> x </w:t>
      </w:r>
      <w:r w:rsidR="009E3385" w:rsidRPr="009F72B3">
        <w:t>0.0095)</w:t>
      </w:r>
      <w:r w:rsidR="00372781">
        <w:t xml:space="preserve"> x </w:t>
      </w:r>
      <w:r w:rsidR="009E3385" w:rsidRPr="009F72B3">
        <w:t>2</w:t>
      </w:r>
      <w:r w:rsidR="00AD515A">
        <w:t>5</w:t>
      </w:r>
      <w:r w:rsidR="009E3385" w:rsidRPr="009F72B3">
        <w:t>]/1000</w:t>
      </w:r>
    </w:p>
    <w:p w:rsidR="009E3385" w:rsidRPr="009F72B3" w:rsidRDefault="00212CC9" w:rsidP="008A0AFC">
      <w:pPr>
        <w:tabs>
          <w:tab w:val="left" w:pos="4253"/>
          <w:tab w:val="left" w:pos="4536"/>
        </w:tabs>
        <w:ind w:left="397"/>
        <w:jc w:val="left"/>
      </w:pPr>
      <w:r w:rsidRPr="009F72B3">
        <w:tab/>
      </w:r>
      <w:r w:rsidR="009E3385" w:rsidRPr="009F72B3">
        <w:t>=</w:t>
      </w:r>
      <w:r w:rsidRPr="009F72B3">
        <w:tab/>
      </w:r>
      <w:r w:rsidR="00F636B0">
        <w:t>0.00</w:t>
      </w:r>
      <w:r w:rsidR="00513C2F">
        <w:t>513</w:t>
      </w:r>
      <w:r w:rsidR="009E3385" w:rsidRPr="009F72B3">
        <w:t xml:space="preserve"> kg CO</w:t>
      </w:r>
      <w:r w:rsidR="009E3385" w:rsidRPr="009F72B3">
        <w:rPr>
          <w:szCs w:val="22"/>
          <w:vertAlign w:val="subscript"/>
        </w:rPr>
        <w:t>2</w:t>
      </w:r>
      <w:r w:rsidR="009E3385" w:rsidRPr="009F72B3">
        <w:t>-e/kg</w:t>
      </w:r>
    </w:p>
    <w:p w:rsidR="009E3385" w:rsidRPr="00E9542C" w:rsidRDefault="009E3385" w:rsidP="008A0AFC">
      <w:pPr>
        <w:tabs>
          <w:tab w:val="left" w:pos="4253"/>
          <w:tab w:val="left" w:pos="4536"/>
        </w:tabs>
        <w:spacing w:before="120"/>
        <w:ind w:left="4536" w:hanging="4139"/>
        <w:jc w:val="left"/>
      </w:pPr>
      <w:r w:rsidRPr="00E9542C">
        <w:t>N</w:t>
      </w:r>
      <w:r w:rsidRPr="00E9542C">
        <w:rPr>
          <w:szCs w:val="18"/>
          <w:vertAlign w:val="subscript"/>
        </w:rPr>
        <w:t>2</w:t>
      </w:r>
      <w:r w:rsidRPr="00E9542C">
        <w:t>O emission factor (kg CO</w:t>
      </w:r>
      <w:r w:rsidRPr="00E9542C">
        <w:rPr>
          <w:szCs w:val="22"/>
          <w:vertAlign w:val="subscript"/>
        </w:rPr>
        <w:t>2</w:t>
      </w:r>
      <w:r w:rsidRPr="00E9542C">
        <w:t>-e/kg)</w:t>
      </w:r>
      <w:r w:rsidR="00212CC9" w:rsidRPr="00E9542C">
        <w:tab/>
      </w:r>
      <w:r w:rsidRPr="00E9542C">
        <w:t>=</w:t>
      </w:r>
      <w:r w:rsidR="00212CC9" w:rsidRPr="00E9542C">
        <w:tab/>
      </w:r>
      <w:r w:rsidRPr="00E9542C">
        <w:t>[(Calorific value*TN</w:t>
      </w:r>
      <w:r w:rsidRPr="00E9542C">
        <w:rPr>
          <w:szCs w:val="22"/>
          <w:vertAlign w:val="subscript"/>
        </w:rPr>
        <w:t>2</w:t>
      </w:r>
      <w:r w:rsidRPr="00E9542C">
        <w:t>O per TJ emission factor)*GWP of N</w:t>
      </w:r>
      <w:r w:rsidRPr="00E9542C">
        <w:rPr>
          <w:szCs w:val="22"/>
          <w:vertAlign w:val="subscript"/>
        </w:rPr>
        <w:t>2</w:t>
      </w:r>
      <w:r w:rsidRPr="00E9542C">
        <w:t>O]/1000</w:t>
      </w:r>
    </w:p>
    <w:p w:rsidR="009E3385" w:rsidRPr="00E9542C" w:rsidRDefault="00212CC9" w:rsidP="008A0AFC">
      <w:pPr>
        <w:tabs>
          <w:tab w:val="left" w:pos="4253"/>
          <w:tab w:val="left" w:pos="4536"/>
        </w:tabs>
        <w:ind w:left="397"/>
        <w:jc w:val="left"/>
      </w:pPr>
      <w:r w:rsidRPr="00E9542C">
        <w:tab/>
      </w:r>
      <w:r w:rsidR="009E3385" w:rsidRPr="00E9542C">
        <w:t>=</w:t>
      </w:r>
      <w:r w:rsidRPr="00E9542C">
        <w:tab/>
      </w:r>
      <w:r w:rsidR="009E3385" w:rsidRPr="00E9542C">
        <w:t>[(</w:t>
      </w:r>
      <w:r w:rsidR="00F636B0">
        <w:t>21.</w:t>
      </w:r>
      <w:r w:rsidR="00E65025">
        <w:t>59</w:t>
      </w:r>
      <w:r w:rsidR="00372781">
        <w:t xml:space="preserve"> x </w:t>
      </w:r>
      <w:r w:rsidR="009E3385" w:rsidRPr="00E9542C">
        <w:t>0.00</w:t>
      </w:r>
      <w:r w:rsidR="00E65025">
        <w:t>143</w:t>
      </w:r>
      <w:r w:rsidR="009E3385" w:rsidRPr="00E9542C">
        <w:t>)</w:t>
      </w:r>
      <w:r w:rsidR="00372781">
        <w:t xml:space="preserve"> x </w:t>
      </w:r>
      <w:r w:rsidR="00513C2F">
        <w:t>298</w:t>
      </w:r>
      <w:r w:rsidR="009E3385" w:rsidRPr="00E9542C">
        <w:t>]/1000</w:t>
      </w:r>
    </w:p>
    <w:p w:rsidR="009E3385" w:rsidRPr="00E9542C" w:rsidRDefault="00212CC9" w:rsidP="008A0AFC">
      <w:pPr>
        <w:tabs>
          <w:tab w:val="left" w:pos="4253"/>
          <w:tab w:val="left" w:pos="4536"/>
        </w:tabs>
        <w:ind w:left="397"/>
        <w:jc w:val="left"/>
        <w:rPr>
          <w:b/>
        </w:rPr>
      </w:pPr>
      <w:r w:rsidRPr="00E9542C">
        <w:tab/>
      </w:r>
      <w:r w:rsidR="009E3385" w:rsidRPr="00E9542C">
        <w:t>=</w:t>
      </w:r>
      <w:r w:rsidRPr="00E9542C">
        <w:tab/>
      </w:r>
      <w:r w:rsidR="000D4E0B">
        <w:t>0.00</w:t>
      </w:r>
      <w:r w:rsidR="00065748">
        <w:t>920</w:t>
      </w:r>
      <w:r w:rsidR="009E3385" w:rsidRPr="00E9542C">
        <w:t xml:space="preserve"> kg CO</w:t>
      </w:r>
      <w:r w:rsidR="009E3385" w:rsidRPr="00E9542C">
        <w:rPr>
          <w:szCs w:val="22"/>
          <w:vertAlign w:val="subscript"/>
        </w:rPr>
        <w:t>2</w:t>
      </w:r>
      <w:r w:rsidR="009E3385" w:rsidRPr="00E9542C">
        <w:t>-e/kg</w:t>
      </w:r>
    </w:p>
    <w:p w:rsidR="009E3385" w:rsidRPr="00D54E97" w:rsidRDefault="009E3385" w:rsidP="008A0AFC">
      <w:pPr>
        <w:tabs>
          <w:tab w:val="left" w:pos="4253"/>
          <w:tab w:val="left" w:pos="4536"/>
        </w:tabs>
        <w:spacing w:before="120"/>
        <w:ind w:left="397"/>
        <w:jc w:val="left"/>
      </w:pPr>
      <w:r w:rsidRPr="00D54E97">
        <w:t>Total CO</w:t>
      </w:r>
      <w:r w:rsidRPr="00D54E97">
        <w:rPr>
          <w:szCs w:val="22"/>
          <w:vertAlign w:val="subscript"/>
        </w:rPr>
        <w:t>2</w:t>
      </w:r>
      <w:r w:rsidRPr="00D54E97">
        <w:t>-e emission factor (kg CO</w:t>
      </w:r>
      <w:r w:rsidRPr="00D54E97">
        <w:rPr>
          <w:szCs w:val="22"/>
          <w:vertAlign w:val="subscript"/>
        </w:rPr>
        <w:t>2</w:t>
      </w:r>
      <w:r w:rsidRPr="00D54E97">
        <w:t>-e/kg)</w:t>
      </w:r>
      <w:r w:rsidR="00212CC9" w:rsidRPr="00D54E97">
        <w:tab/>
      </w:r>
      <w:r w:rsidRPr="00D54E97">
        <w:t>=</w:t>
      </w:r>
      <w:r w:rsidR="00212CC9" w:rsidRPr="00D54E97">
        <w:tab/>
      </w:r>
      <w:r w:rsidRPr="00D54E97">
        <w:t>Sum of CO</w:t>
      </w:r>
      <w:r w:rsidRPr="00D54E97">
        <w:rPr>
          <w:szCs w:val="22"/>
          <w:vertAlign w:val="subscript"/>
        </w:rPr>
        <w:t>2</w:t>
      </w:r>
      <w:r w:rsidRPr="00D54E97">
        <w:t>, CH</w:t>
      </w:r>
      <w:r w:rsidRPr="00D54E97">
        <w:rPr>
          <w:szCs w:val="22"/>
          <w:vertAlign w:val="subscript"/>
        </w:rPr>
        <w:t>4</w:t>
      </w:r>
      <w:r w:rsidRPr="00D54E97">
        <w:t xml:space="preserve"> and N</w:t>
      </w:r>
      <w:r w:rsidRPr="00D54E97">
        <w:rPr>
          <w:szCs w:val="22"/>
          <w:vertAlign w:val="subscript"/>
        </w:rPr>
        <w:t>2</w:t>
      </w:r>
      <w:r w:rsidRPr="00D54E97">
        <w:t>O emission factors</w:t>
      </w:r>
    </w:p>
    <w:p w:rsidR="009E3385" w:rsidRPr="000F1882" w:rsidRDefault="00212CC9" w:rsidP="008A0AFC">
      <w:pPr>
        <w:tabs>
          <w:tab w:val="left" w:pos="4253"/>
          <w:tab w:val="left" w:pos="4536"/>
        </w:tabs>
        <w:ind w:left="397"/>
        <w:jc w:val="left"/>
      </w:pPr>
      <w:r w:rsidRPr="00D54E97">
        <w:tab/>
      </w:r>
      <w:r w:rsidR="009E3385" w:rsidRPr="00D54E97">
        <w:t>=</w:t>
      </w:r>
      <w:r w:rsidRPr="00D54E97">
        <w:tab/>
      </w:r>
      <w:r w:rsidR="00E601D3">
        <w:t>2.00</w:t>
      </w:r>
      <w:r w:rsidR="009E3385" w:rsidRPr="00D54E97">
        <w:t xml:space="preserve"> CO</w:t>
      </w:r>
      <w:r w:rsidR="009E3385" w:rsidRPr="00D54E97">
        <w:rPr>
          <w:vertAlign w:val="subscript"/>
        </w:rPr>
        <w:t>2</w:t>
      </w:r>
      <w:r w:rsidR="009E3385" w:rsidRPr="00D54E97">
        <w:t>-e/kg</w:t>
      </w:r>
    </w:p>
    <w:p w:rsidR="009E3385" w:rsidRPr="000F1882" w:rsidRDefault="009E3385" w:rsidP="008A0AFC">
      <w:pPr>
        <w:jc w:val="left"/>
      </w:pPr>
    </w:p>
    <w:p w:rsidR="009E3385" w:rsidRPr="000F1882" w:rsidRDefault="009E3385" w:rsidP="008A0AFC">
      <w:pPr>
        <w:jc w:val="left"/>
      </w:pPr>
      <w:r w:rsidRPr="000F1882">
        <w:t xml:space="preserve">Note that if you </w:t>
      </w:r>
      <w:r w:rsidR="00D54E97">
        <w:t>know</w:t>
      </w:r>
      <w:r w:rsidRPr="000F1882">
        <w:t xml:space="preserve"> the calorific value of your coal, you could substitute your specific calorific value and obtain a more accurate (specific) emission factor.</w:t>
      </w:r>
    </w:p>
    <w:p w:rsidR="009E3385" w:rsidRPr="000F1882" w:rsidRDefault="009E3385" w:rsidP="008A0AFC">
      <w:pPr>
        <w:jc w:val="left"/>
      </w:pPr>
    </w:p>
    <w:p w:rsidR="009E3385" w:rsidRPr="000F1882" w:rsidRDefault="009E3385" w:rsidP="008A0AFC">
      <w:pPr>
        <w:pStyle w:val="Heading1"/>
        <w:ind w:left="0" w:firstLine="0"/>
      </w:pPr>
      <w:r>
        <w:br w:type="page"/>
      </w:r>
      <w:bookmarkStart w:id="245" w:name="_Toc289083975"/>
      <w:bookmarkStart w:id="246" w:name="_Toc469577185"/>
      <w:r w:rsidRPr="000F1882">
        <w:lastRenderedPageBreak/>
        <w:t>Appendix</w:t>
      </w:r>
      <w:r>
        <w:t xml:space="preserve"> </w:t>
      </w:r>
      <w:r w:rsidR="00312CEC">
        <w:t>B</w:t>
      </w:r>
      <w:r w:rsidRPr="000F1882">
        <w:t xml:space="preserve">: </w:t>
      </w:r>
      <w:r>
        <w:t>Methods for calculating emissions from refrigeration</w:t>
      </w:r>
      <w:bookmarkEnd w:id="245"/>
      <w:bookmarkEnd w:id="246"/>
    </w:p>
    <w:p w:rsidR="009E3385" w:rsidRDefault="00660096" w:rsidP="008A0AFC">
      <w:pPr>
        <w:jc w:val="left"/>
      </w:pPr>
      <w:r>
        <w:t>Greenhouse Gas (</w:t>
      </w:r>
      <w:r w:rsidR="007B5351">
        <w:t>GHG</w:t>
      </w:r>
      <w:r>
        <w:t>)</w:t>
      </w:r>
      <w:r w:rsidR="007B5351">
        <w:t xml:space="preserve"> </w:t>
      </w:r>
      <w:r w:rsidR="009E3385" w:rsidRPr="000F1882">
        <w:t>emissions from hydrofluorocarbons (HFCs) are associated with unintentional leaks and spills from refrigeration units, air conditioners and heat pumps. While quantities of HFCs reported in a business emissions inventory may be small, HFCs have very high global warming potentials (commonly 1300 to 3300 times more potent than CO</w:t>
      </w:r>
      <w:r w:rsidR="009E3385" w:rsidRPr="000F1882">
        <w:rPr>
          <w:vertAlign w:val="subscript"/>
        </w:rPr>
        <w:t>2</w:t>
      </w:r>
      <w:r w:rsidR="009E3385" w:rsidRPr="000F1882">
        <w:t xml:space="preserve">) and emissions from this source may therefore be material. In addition, emissions associated with this sector are growing significantly as they replace </w:t>
      </w:r>
      <w:r>
        <w:t>CFCs</w:t>
      </w:r>
      <w:r w:rsidR="009E3385">
        <w:t xml:space="preserve"> and HCFCs.</w:t>
      </w:r>
    </w:p>
    <w:p w:rsidR="009E3385" w:rsidRDefault="009E3385" w:rsidP="008A0AFC">
      <w:pPr>
        <w:jc w:val="left"/>
      </w:pPr>
    </w:p>
    <w:p w:rsidR="009E3385" w:rsidRDefault="009E3385" w:rsidP="008A0AFC">
      <w:pPr>
        <w:jc w:val="left"/>
      </w:pPr>
      <w:r w:rsidRPr="00BD3884">
        <w:t xml:space="preserve">Scope 1 emissions from </w:t>
      </w:r>
      <w:r>
        <w:t xml:space="preserve">refrigeration </w:t>
      </w:r>
      <w:r w:rsidRPr="00BD3884">
        <w:t xml:space="preserve">occur from </w:t>
      </w:r>
      <w:r>
        <w:t>refrigeration units</w:t>
      </w:r>
      <w:r w:rsidRPr="00BD3884">
        <w:t xml:space="preserve"> which are owned or controlled by the reporting organisation. </w:t>
      </w:r>
      <w:r>
        <w:t>If the unit is leased, associated emissions should be reported under Scope 3 emissions.</w:t>
      </w:r>
    </w:p>
    <w:p w:rsidR="009E3385" w:rsidRDefault="009E3385" w:rsidP="008A0AFC">
      <w:pPr>
        <w:jc w:val="left"/>
      </w:pPr>
    </w:p>
    <w:p w:rsidR="009E3385" w:rsidRDefault="009E3385" w:rsidP="008A0AFC">
      <w:pPr>
        <w:pStyle w:val="Heading4"/>
        <w:jc w:val="left"/>
      </w:pPr>
      <w:r>
        <w:t>Methodologies</w:t>
      </w:r>
    </w:p>
    <w:p w:rsidR="00EC1311" w:rsidRDefault="009E3385" w:rsidP="008A0AFC">
      <w:pPr>
        <w:jc w:val="left"/>
      </w:pPr>
      <w:r>
        <w:t xml:space="preserve">Three approaches can be taken to assess HFC leakage from refrigeration equipment. The approach taken </w:t>
      </w:r>
      <w:r w:rsidR="001B7F03">
        <w:t>is</w:t>
      </w:r>
      <w:r>
        <w:t xml:space="preserve"> dependent upon the type of equipment you are performing the calculation for and the level of information available to you (see </w:t>
      </w:r>
      <w:r w:rsidR="001B7F03">
        <w:t>the section “</w:t>
      </w:r>
      <w:r>
        <w:t>Choosing a Method</w:t>
      </w:r>
      <w:r w:rsidR="001B7F03">
        <w:t>”</w:t>
      </w:r>
      <w:r>
        <w:t xml:space="preserve"> below).</w:t>
      </w:r>
    </w:p>
    <w:p w:rsidR="009E3385" w:rsidRDefault="009E3385" w:rsidP="008A0AFC">
      <w:pPr>
        <w:jc w:val="left"/>
      </w:pPr>
    </w:p>
    <w:p w:rsidR="00EC1311" w:rsidRPr="00961238" w:rsidRDefault="009E3385" w:rsidP="008A0AFC">
      <w:pPr>
        <w:spacing w:after="120"/>
        <w:jc w:val="left"/>
        <w:rPr>
          <w:rFonts w:ascii="Arial" w:hAnsi="Arial" w:cs="Arial"/>
          <w:b/>
        </w:rPr>
      </w:pPr>
      <w:r w:rsidRPr="00961238">
        <w:rPr>
          <w:rFonts w:ascii="Arial" w:hAnsi="Arial" w:cs="Arial"/>
          <w:b/>
        </w:rPr>
        <w:t>Method A – Life-cycle stage approach</w:t>
      </w:r>
    </w:p>
    <w:p w:rsidR="00961238" w:rsidRPr="00961238" w:rsidRDefault="00961238" w:rsidP="008A0AFC">
      <w:pPr>
        <w:pStyle w:val="Box"/>
        <w:pBdr>
          <w:top w:val="single" w:sz="6" w:space="6" w:color="auto"/>
          <w:left w:val="single" w:sz="6" w:space="6" w:color="auto"/>
          <w:bottom w:val="single" w:sz="6" w:space="6" w:color="auto"/>
          <w:right w:val="single" w:sz="6" w:space="6" w:color="auto"/>
        </w:pBdr>
        <w:spacing w:before="0"/>
        <w:ind w:left="142" w:right="142"/>
        <w:jc w:val="left"/>
        <w:rPr>
          <w:b/>
          <w:i/>
          <w:lang w:val="nb-NO"/>
        </w:rPr>
      </w:pPr>
      <w:r w:rsidRPr="00961238">
        <w:rPr>
          <w:b/>
          <w:i/>
          <w:lang w:val="nb-NO"/>
        </w:rPr>
        <w:t>E = (IE + S + DE) x GWP</w:t>
      </w:r>
    </w:p>
    <w:p w:rsidR="009E3385" w:rsidRPr="006F12D4" w:rsidRDefault="009E3385" w:rsidP="008A0AFC">
      <w:pPr>
        <w:spacing w:before="120"/>
        <w:jc w:val="left"/>
      </w:pPr>
      <w:r>
        <w:t>Where:</w:t>
      </w:r>
    </w:p>
    <w:p w:rsidR="009E3385" w:rsidRPr="006F12D4" w:rsidRDefault="009E3385" w:rsidP="008A0AFC">
      <w:pPr>
        <w:tabs>
          <w:tab w:val="left" w:pos="567"/>
          <w:tab w:val="left" w:pos="851"/>
        </w:tabs>
        <w:ind w:left="851" w:hanging="851"/>
        <w:jc w:val="left"/>
      </w:pPr>
      <w:r w:rsidRPr="006F12D4">
        <w:t>E</w:t>
      </w:r>
      <w:r w:rsidR="00961238">
        <w:tab/>
      </w:r>
      <w:r>
        <w:t>=</w:t>
      </w:r>
      <w:r w:rsidR="00961238">
        <w:tab/>
      </w:r>
      <w:r w:rsidRPr="006F12D4">
        <w:t xml:space="preserve">emissions from </w:t>
      </w:r>
      <w:r>
        <w:t xml:space="preserve">the piece of </w:t>
      </w:r>
      <w:r w:rsidRPr="006F12D4">
        <w:t xml:space="preserve">equipment in </w:t>
      </w:r>
      <w:r>
        <w:t>kg</w:t>
      </w:r>
      <w:r w:rsidRPr="006F12D4">
        <w:t xml:space="preserve"> CO</w:t>
      </w:r>
      <w:r w:rsidRPr="005A58E1">
        <w:rPr>
          <w:vertAlign w:val="subscript"/>
        </w:rPr>
        <w:t>2</w:t>
      </w:r>
      <w:r w:rsidRPr="006F12D4">
        <w:t>-e</w:t>
      </w:r>
      <w:r>
        <w:t xml:space="preserve"> (per year)</w:t>
      </w:r>
    </w:p>
    <w:p w:rsidR="009E3385" w:rsidRPr="00EC1311" w:rsidRDefault="009E3385" w:rsidP="008A0AFC">
      <w:pPr>
        <w:tabs>
          <w:tab w:val="left" w:pos="567"/>
          <w:tab w:val="left" w:pos="851"/>
        </w:tabs>
        <w:ind w:left="851" w:hanging="851"/>
        <w:jc w:val="left"/>
        <w:rPr>
          <w:szCs w:val="22"/>
        </w:rPr>
      </w:pPr>
      <w:r w:rsidRPr="00EC1311">
        <w:rPr>
          <w:szCs w:val="22"/>
        </w:rPr>
        <w:t>IE</w:t>
      </w:r>
      <w:r w:rsidR="00961238">
        <w:rPr>
          <w:szCs w:val="22"/>
        </w:rPr>
        <w:tab/>
      </w:r>
      <w:r w:rsidRPr="00EC1311">
        <w:rPr>
          <w:szCs w:val="22"/>
        </w:rPr>
        <w:t>=</w:t>
      </w:r>
      <w:r w:rsidR="00961238">
        <w:rPr>
          <w:szCs w:val="22"/>
        </w:rPr>
        <w:tab/>
      </w:r>
      <w:r w:rsidRPr="00EC1311">
        <w:rPr>
          <w:szCs w:val="22"/>
        </w:rPr>
        <w:t>installation emissions (refrigerant used to charge new equipment less the total full charge</w:t>
      </w:r>
      <w:r w:rsidRPr="00961238">
        <w:rPr>
          <w:rStyle w:val="FootnoteReference"/>
        </w:rPr>
        <w:footnoteReference w:id="19"/>
      </w:r>
      <w:r w:rsidRPr="00EC1311">
        <w:rPr>
          <w:szCs w:val="22"/>
        </w:rPr>
        <w:t xml:space="preserve"> of new equipment. This is omitted if the equipment has been pre-charged by the manufacturer)</w:t>
      </w:r>
    </w:p>
    <w:p w:rsidR="009E3385" w:rsidRPr="00EC1311" w:rsidRDefault="009E3385" w:rsidP="008A0AFC">
      <w:pPr>
        <w:tabs>
          <w:tab w:val="left" w:pos="567"/>
          <w:tab w:val="left" w:pos="851"/>
        </w:tabs>
        <w:ind w:left="851" w:hanging="851"/>
        <w:jc w:val="left"/>
        <w:rPr>
          <w:szCs w:val="22"/>
        </w:rPr>
      </w:pPr>
      <w:r w:rsidRPr="00EC1311">
        <w:rPr>
          <w:szCs w:val="22"/>
        </w:rPr>
        <w:t>S</w:t>
      </w:r>
      <w:r w:rsidR="00961238">
        <w:rPr>
          <w:szCs w:val="22"/>
        </w:rPr>
        <w:tab/>
      </w:r>
      <w:r w:rsidRPr="00EC1311">
        <w:rPr>
          <w:szCs w:val="22"/>
        </w:rPr>
        <w:t>=</w:t>
      </w:r>
      <w:r w:rsidR="00961238">
        <w:rPr>
          <w:szCs w:val="22"/>
        </w:rPr>
        <w:tab/>
      </w:r>
      <w:r w:rsidRPr="00EC1311">
        <w:rPr>
          <w:szCs w:val="22"/>
        </w:rPr>
        <w:t xml:space="preserve">recorded quantity of refrigerant used to service equipment, also referred to as a </w:t>
      </w:r>
      <w:r w:rsidR="00EC1311" w:rsidRPr="00EC1311">
        <w:rPr>
          <w:szCs w:val="22"/>
        </w:rPr>
        <w:t>‘</w:t>
      </w:r>
      <w:r w:rsidRPr="00EC1311">
        <w:rPr>
          <w:szCs w:val="22"/>
        </w:rPr>
        <w:t>top</w:t>
      </w:r>
      <w:r w:rsidR="00925D4C">
        <w:rPr>
          <w:szCs w:val="22"/>
        </w:rPr>
        <w:noBreakHyphen/>
      </w:r>
      <w:r w:rsidRPr="00EC1311">
        <w:rPr>
          <w:szCs w:val="22"/>
        </w:rPr>
        <w:t>up</w:t>
      </w:r>
      <w:r w:rsidR="00EC1311" w:rsidRPr="00EC1311">
        <w:rPr>
          <w:szCs w:val="22"/>
        </w:rPr>
        <w:t>’</w:t>
      </w:r>
    </w:p>
    <w:p w:rsidR="009E3385" w:rsidRPr="00EC1311" w:rsidRDefault="009E3385" w:rsidP="008A0AFC">
      <w:pPr>
        <w:tabs>
          <w:tab w:val="left" w:pos="567"/>
          <w:tab w:val="left" w:pos="851"/>
        </w:tabs>
        <w:ind w:left="851" w:hanging="851"/>
        <w:jc w:val="left"/>
        <w:rPr>
          <w:szCs w:val="22"/>
        </w:rPr>
      </w:pPr>
      <w:r w:rsidRPr="00EC1311">
        <w:rPr>
          <w:szCs w:val="22"/>
        </w:rPr>
        <w:t>DE</w:t>
      </w:r>
      <w:r w:rsidR="00961238">
        <w:rPr>
          <w:szCs w:val="22"/>
        </w:rPr>
        <w:tab/>
      </w:r>
      <w:r w:rsidRPr="00EC1311">
        <w:rPr>
          <w:szCs w:val="22"/>
        </w:rPr>
        <w:t>=</w:t>
      </w:r>
      <w:r w:rsidR="00961238">
        <w:rPr>
          <w:szCs w:val="22"/>
        </w:rPr>
        <w:tab/>
      </w:r>
      <w:r w:rsidRPr="00EC1311">
        <w:rPr>
          <w:szCs w:val="22"/>
        </w:rPr>
        <w:t>disposal emissions (total full charge of retiring equipment less the refrigerant recovered from retiring equipment)</w:t>
      </w:r>
    </w:p>
    <w:p w:rsidR="009E3385" w:rsidRPr="00EC1311" w:rsidRDefault="009E3385" w:rsidP="008A0AFC">
      <w:pPr>
        <w:tabs>
          <w:tab w:val="left" w:pos="567"/>
          <w:tab w:val="left" w:pos="851"/>
        </w:tabs>
        <w:ind w:left="851" w:hanging="851"/>
        <w:jc w:val="left"/>
        <w:rPr>
          <w:szCs w:val="22"/>
        </w:rPr>
      </w:pPr>
      <w:r w:rsidRPr="00EC1311">
        <w:rPr>
          <w:szCs w:val="22"/>
        </w:rPr>
        <w:t>GWP</w:t>
      </w:r>
      <w:r w:rsidR="00961238">
        <w:rPr>
          <w:szCs w:val="22"/>
        </w:rPr>
        <w:tab/>
      </w:r>
      <w:r w:rsidRPr="00EC1311">
        <w:rPr>
          <w:szCs w:val="22"/>
        </w:rPr>
        <w:t>=</w:t>
      </w:r>
      <w:r w:rsidR="00961238">
        <w:rPr>
          <w:szCs w:val="22"/>
        </w:rPr>
        <w:tab/>
      </w:r>
      <w:r w:rsidRPr="00EC1311">
        <w:rPr>
          <w:szCs w:val="22"/>
        </w:rPr>
        <w:t>the 100-year global warming potential of the refrigerant used in equipment (</w:t>
      </w:r>
      <w:r w:rsidR="00EB1450">
        <w:rPr>
          <w:szCs w:val="22"/>
        </w:rPr>
        <w:t>table</w:t>
      </w:r>
      <w:r w:rsidR="00961238">
        <w:rPr>
          <w:szCs w:val="22"/>
        </w:rPr>
        <w:t xml:space="preserve"> </w:t>
      </w:r>
      <w:r w:rsidR="00E524FF">
        <w:rPr>
          <w:szCs w:val="22"/>
        </w:rPr>
        <w:t>24</w:t>
      </w:r>
      <w:r w:rsidRPr="00EC1311">
        <w:rPr>
          <w:szCs w:val="22"/>
        </w:rPr>
        <w:t>)</w:t>
      </w:r>
      <w:r w:rsidR="00961238">
        <w:rPr>
          <w:szCs w:val="22"/>
        </w:rPr>
        <w:t>.</w:t>
      </w:r>
    </w:p>
    <w:p w:rsidR="009E3385" w:rsidRPr="00EC1311" w:rsidRDefault="009E3385" w:rsidP="008A0AFC">
      <w:pPr>
        <w:jc w:val="left"/>
      </w:pPr>
    </w:p>
    <w:p w:rsidR="009E3385" w:rsidRDefault="00833119" w:rsidP="008A0AFC">
      <w:pPr>
        <w:jc w:val="left"/>
      </w:pPr>
      <w:r>
        <w:t xml:space="preserve">This approach is detailed in </w:t>
      </w:r>
      <w:r w:rsidRPr="00833119">
        <w:rPr>
          <w:i/>
        </w:rPr>
        <w:t>T</w:t>
      </w:r>
      <w:r w:rsidR="009E3385" w:rsidRPr="00833119">
        <w:rPr>
          <w:i/>
        </w:rPr>
        <w:t>he</w:t>
      </w:r>
      <w:r w:rsidR="009E3385">
        <w:t xml:space="preserve"> </w:t>
      </w:r>
      <w:r w:rsidR="009E3385">
        <w:rPr>
          <w:i/>
        </w:rPr>
        <w:t>GHG Protocol HFC tool</w:t>
      </w:r>
      <w:r w:rsidR="009E3385">
        <w:t xml:space="preserve"> (WRI/WBCSD</w:t>
      </w:r>
      <w:r w:rsidR="00AD0D6D">
        <w:t>,</w:t>
      </w:r>
      <w:r w:rsidR="009E3385">
        <w:t xml:space="preserve"> 2005). This method requires service agents</w:t>
      </w:r>
      <w:r w:rsidR="00EC1311">
        <w:t>’</w:t>
      </w:r>
      <w:r w:rsidR="009E3385">
        <w:t xml:space="preserve"> advice being sought for the following information on each piece of equipment, truck or bus operated by the organisation:</w:t>
      </w:r>
    </w:p>
    <w:p w:rsidR="00EC1311" w:rsidRDefault="00480433" w:rsidP="008A0AFC">
      <w:pPr>
        <w:spacing w:before="60"/>
        <w:ind w:left="397" w:hanging="397"/>
        <w:jc w:val="left"/>
      </w:pPr>
      <w:r>
        <w:t>1.</w:t>
      </w:r>
      <w:r>
        <w:tab/>
      </w:r>
      <w:r w:rsidR="009E3385">
        <w:t>refrigerant type</w:t>
      </w:r>
    </w:p>
    <w:p w:rsidR="00EC1311" w:rsidRDefault="00480433" w:rsidP="008A0AFC">
      <w:pPr>
        <w:spacing w:before="60"/>
        <w:ind w:left="397" w:hanging="397"/>
        <w:jc w:val="left"/>
      </w:pPr>
      <w:r>
        <w:t>2.</w:t>
      </w:r>
      <w:r>
        <w:tab/>
      </w:r>
      <w:r w:rsidR="009E3385">
        <w:t>full refrigerant charge</w:t>
      </w:r>
    </w:p>
    <w:p w:rsidR="00EC1311" w:rsidRDefault="00480433" w:rsidP="008A0AFC">
      <w:pPr>
        <w:spacing w:before="60"/>
        <w:ind w:left="397" w:hanging="397"/>
        <w:jc w:val="left"/>
      </w:pPr>
      <w:r>
        <w:t>3.</w:t>
      </w:r>
      <w:r>
        <w:tab/>
      </w:r>
      <w:r w:rsidR="009E3385">
        <w:t>quantity used in installation of new equipment</w:t>
      </w:r>
    </w:p>
    <w:p w:rsidR="00EC1311" w:rsidRDefault="00480433" w:rsidP="008A0AFC">
      <w:pPr>
        <w:spacing w:before="60"/>
        <w:ind w:left="397" w:hanging="397"/>
        <w:jc w:val="left"/>
      </w:pPr>
      <w:r>
        <w:t>4.</w:t>
      </w:r>
      <w:r>
        <w:tab/>
      </w:r>
      <w:r w:rsidR="009E3385">
        <w:t>quantity used in servicing</w:t>
      </w:r>
    </w:p>
    <w:p w:rsidR="00EC1311" w:rsidRDefault="00480433" w:rsidP="00480433">
      <w:pPr>
        <w:spacing w:before="60"/>
        <w:ind w:left="397" w:hanging="397"/>
      </w:pPr>
      <w:r>
        <w:t>5.</w:t>
      </w:r>
      <w:r>
        <w:tab/>
      </w:r>
      <w:r w:rsidR="009E3385">
        <w:t>quantity recovered from retired equipment.</w:t>
      </w:r>
    </w:p>
    <w:p w:rsidR="009E3385" w:rsidRDefault="009E3385" w:rsidP="00480433"/>
    <w:p w:rsidR="009E3385" w:rsidRDefault="009E3385" w:rsidP="008A0AFC">
      <w:pPr>
        <w:jc w:val="left"/>
      </w:pPr>
      <w:r>
        <w:lastRenderedPageBreak/>
        <w:t>The equations for installation, operation and disposal emissions a</w:t>
      </w:r>
      <w:r w:rsidR="00833119">
        <w:t xml:space="preserve">re explained in more detail in </w:t>
      </w:r>
      <w:r w:rsidR="00833119" w:rsidRPr="00833119">
        <w:rPr>
          <w:i/>
        </w:rPr>
        <w:t>T</w:t>
      </w:r>
      <w:r w:rsidRPr="00833119">
        <w:rPr>
          <w:i/>
        </w:rPr>
        <w:t xml:space="preserve">he </w:t>
      </w:r>
      <w:r>
        <w:rPr>
          <w:i/>
        </w:rPr>
        <w:t>GHG Protocol HFC tool</w:t>
      </w:r>
      <w:r>
        <w:t xml:space="preserve"> guide.</w:t>
      </w:r>
    </w:p>
    <w:p w:rsidR="009E3385" w:rsidRDefault="009E3385" w:rsidP="008A0AFC">
      <w:pPr>
        <w:jc w:val="left"/>
      </w:pPr>
    </w:p>
    <w:p w:rsidR="00EC1311" w:rsidRPr="00480433" w:rsidRDefault="009E3385" w:rsidP="008A0AFC">
      <w:pPr>
        <w:spacing w:after="120"/>
        <w:jc w:val="left"/>
        <w:rPr>
          <w:rFonts w:ascii="Arial" w:hAnsi="Arial" w:cs="Arial"/>
          <w:b/>
        </w:rPr>
      </w:pPr>
      <w:r w:rsidRPr="00480433">
        <w:rPr>
          <w:rFonts w:ascii="Arial" w:hAnsi="Arial" w:cs="Arial"/>
          <w:b/>
        </w:rPr>
        <w:t>Method B – Default annual leakage rate</w:t>
      </w:r>
    </w:p>
    <w:p w:rsidR="00480433" w:rsidRPr="00480433" w:rsidRDefault="00480433" w:rsidP="008A0AFC">
      <w:pPr>
        <w:pStyle w:val="Box"/>
        <w:pBdr>
          <w:top w:val="single" w:sz="6" w:space="6" w:color="auto"/>
          <w:left w:val="single" w:sz="6" w:space="6" w:color="auto"/>
          <w:bottom w:val="single" w:sz="6" w:space="6" w:color="auto"/>
          <w:right w:val="single" w:sz="6" w:space="6" w:color="auto"/>
        </w:pBdr>
        <w:spacing w:before="0"/>
        <w:ind w:left="142" w:right="142"/>
        <w:jc w:val="left"/>
        <w:rPr>
          <w:b/>
          <w:i/>
        </w:rPr>
      </w:pPr>
      <w:r w:rsidRPr="00480433">
        <w:rPr>
          <w:b/>
          <w:i/>
        </w:rPr>
        <w:t>E = (IE + OE + DE) x GWP</w:t>
      </w:r>
    </w:p>
    <w:p w:rsidR="009E3385" w:rsidRDefault="009E3385" w:rsidP="008A0AFC">
      <w:pPr>
        <w:spacing w:before="120"/>
        <w:jc w:val="left"/>
      </w:pPr>
      <w:r>
        <w:t>Where:</w:t>
      </w:r>
    </w:p>
    <w:p w:rsidR="009E3385" w:rsidRPr="006F12D4" w:rsidRDefault="009E3385" w:rsidP="008A0AFC">
      <w:pPr>
        <w:tabs>
          <w:tab w:val="left" w:pos="567"/>
          <w:tab w:val="left" w:pos="851"/>
        </w:tabs>
        <w:jc w:val="left"/>
      </w:pPr>
      <w:r w:rsidRPr="006F12D4">
        <w:t>E</w:t>
      </w:r>
      <w:r w:rsidR="00480433">
        <w:tab/>
      </w:r>
      <w:r>
        <w:t>=</w:t>
      </w:r>
      <w:r w:rsidR="00480433">
        <w:tab/>
      </w:r>
      <w:r w:rsidRPr="006F12D4">
        <w:t xml:space="preserve">emissions from equipment in </w:t>
      </w:r>
      <w:r>
        <w:t>kg</w:t>
      </w:r>
      <w:r w:rsidRPr="006F12D4">
        <w:t xml:space="preserve"> CO</w:t>
      </w:r>
      <w:r w:rsidRPr="006F12D4">
        <w:rPr>
          <w:vertAlign w:val="subscript"/>
        </w:rPr>
        <w:t>2</w:t>
      </w:r>
      <w:r w:rsidRPr="006F12D4">
        <w:t>-e</w:t>
      </w:r>
    </w:p>
    <w:p w:rsidR="009E3385" w:rsidRPr="006F12D4" w:rsidRDefault="009E3385" w:rsidP="008A0AFC">
      <w:pPr>
        <w:tabs>
          <w:tab w:val="left" w:pos="567"/>
          <w:tab w:val="left" w:pos="851"/>
        </w:tabs>
        <w:jc w:val="left"/>
      </w:pPr>
      <w:r>
        <w:t>I</w:t>
      </w:r>
      <w:r w:rsidRPr="006F12D4">
        <w:t>E</w:t>
      </w:r>
      <w:r w:rsidR="00480433">
        <w:tab/>
      </w:r>
      <w:r>
        <w:t>=</w:t>
      </w:r>
      <w:r w:rsidR="00480433">
        <w:tab/>
      </w:r>
      <w:r w:rsidRPr="006F12D4">
        <w:t>installation emissions</w:t>
      </w:r>
      <w:r>
        <w:t xml:space="preserve"> (as applicable – see above)</w:t>
      </w:r>
    </w:p>
    <w:p w:rsidR="009E3385" w:rsidRPr="006F12D4" w:rsidRDefault="009E3385" w:rsidP="008A0AFC">
      <w:pPr>
        <w:tabs>
          <w:tab w:val="left" w:pos="567"/>
          <w:tab w:val="left" w:pos="851"/>
        </w:tabs>
        <w:jc w:val="left"/>
      </w:pPr>
      <w:r w:rsidRPr="006F12D4">
        <w:t>OE</w:t>
      </w:r>
      <w:r w:rsidR="00480433">
        <w:tab/>
      </w:r>
      <w:r>
        <w:t>=</w:t>
      </w:r>
      <w:r w:rsidR="00480433">
        <w:tab/>
      </w:r>
      <w:r w:rsidRPr="006F12D4">
        <w:t>operation emissions</w:t>
      </w:r>
    </w:p>
    <w:p w:rsidR="009E3385" w:rsidRDefault="009E3385" w:rsidP="008A0AFC">
      <w:pPr>
        <w:tabs>
          <w:tab w:val="left" w:pos="567"/>
          <w:tab w:val="left" w:pos="851"/>
        </w:tabs>
        <w:jc w:val="left"/>
      </w:pPr>
      <w:r w:rsidRPr="006F12D4">
        <w:t>DE</w:t>
      </w:r>
      <w:r w:rsidR="00480433">
        <w:tab/>
      </w:r>
      <w:r>
        <w:t>=</w:t>
      </w:r>
      <w:r w:rsidR="00480433">
        <w:tab/>
      </w:r>
      <w:r w:rsidRPr="006F12D4">
        <w:t>disposal emissions</w:t>
      </w:r>
      <w:r>
        <w:t xml:space="preserve"> (as applicable – see above)</w:t>
      </w:r>
    </w:p>
    <w:p w:rsidR="009E3385" w:rsidRPr="00EC1311" w:rsidRDefault="009E3385" w:rsidP="008A0AFC">
      <w:pPr>
        <w:tabs>
          <w:tab w:val="left" w:pos="567"/>
          <w:tab w:val="left" w:pos="851"/>
        </w:tabs>
        <w:jc w:val="left"/>
        <w:rPr>
          <w:szCs w:val="22"/>
        </w:rPr>
      </w:pPr>
      <w:r>
        <w:t>GWP</w:t>
      </w:r>
      <w:r w:rsidR="00480433">
        <w:tab/>
      </w:r>
      <w:r>
        <w:t>=</w:t>
      </w:r>
      <w:r w:rsidR="00480433">
        <w:tab/>
      </w:r>
      <w:r w:rsidRPr="00EC1311">
        <w:rPr>
          <w:szCs w:val="22"/>
        </w:rPr>
        <w:t>the 100-year global warming potential of the refrigerant used in equipment (</w:t>
      </w:r>
      <w:r w:rsidR="00EB1450">
        <w:rPr>
          <w:szCs w:val="22"/>
        </w:rPr>
        <w:t>table</w:t>
      </w:r>
      <w:r w:rsidR="00212F40">
        <w:rPr>
          <w:szCs w:val="22"/>
        </w:rPr>
        <w:t xml:space="preserve"> </w:t>
      </w:r>
      <w:r w:rsidR="0063791E">
        <w:rPr>
          <w:szCs w:val="22"/>
        </w:rPr>
        <w:t>24</w:t>
      </w:r>
      <w:r w:rsidR="00212F40">
        <w:rPr>
          <w:szCs w:val="22"/>
        </w:rPr>
        <w:t>).</w:t>
      </w:r>
    </w:p>
    <w:p w:rsidR="009E3385" w:rsidRPr="00F259A6" w:rsidRDefault="009E3385" w:rsidP="008A0AFC">
      <w:pPr>
        <w:spacing w:before="240"/>
        <w:ind w:left="397"/>
        <w:jc w:val="left"/>
        <w:rPr>
          <w:b/>
          <w:i/>
        </w:rPr>
      </w:pPr>
      <w:r w:rsidRPr="00F259A6">
        <w:rPr>
          <w:b/>
          <w:i/>
        </w:rPr>
        <w:t>IE</w:t>
      </w:r>
      <w:r w:rsidR="00B1121C">
        <w:rPr>
          <w:b/>
          <w:i/>
        </w:rPr>
        <w:t xml:space="preserve"> </w:t>
      </w:r>
      <w:r w:rsidRPr="00F259A6">
        <w:rPr>
          <w:b/>
          <w:i/>
        </w:rPr>
        <w:t>= C x AEF</w:t>
      </w:r>
    </w:p>
    <w:p w:rsidR="009E3385" w:rsidRPr="006F12D4" w:rsidRDefault="009E3385" w:rsidP="008A0AFC">
      <w:pPr>
        <w:tabs>
          <w:tab w:val="left" w:pos="993"/>
          <w:tab w:val="left" w:pos="1276"/>
        </w:tabs>
        <w:ind w:left="397"/>
        <w:jc w:val="left"/>
      </w:pPr>
      <w:r w:rsidRPr="006F12D4">
        <w:t>C</w:t>
      </w:r>
      <w:r w:rsidR="00F259A6">
        <w:tab/>
      </w:r>
      <w:r>
        <w:t>=</w:t>
      </w:r>
      <w:r w:rsidR="00F259A6">
        <w:tab/>
      </w:r>
      <w:r w:rsidRPr="006F12D4">
        <w:t xml:space="preserve">original </w:t>
      </w:r>
      <w:r>
        <w:t xml:space="preserve">full </w:t>
      </w:r>
      <w:r w:rsidRPr="006F12D4">
        <w:t>refrigerant charge</w:t>
      </w:r>
      <w:r>
        <w:t xml:space="preserve"> in equipment</w:t>
      </w:r>
      <w:r w:rsidRPr="006F12D4">
        <w:t xml:space="preserve"> (kg)</w:t>
      </w:r>
    </w:p>
    <w:p w:rsidR="00EC1311" w:rsidRDefault="009E3385" w:rsidP="008A0AFC">
      <w:pPr>
        <w:tabs>
          <w:tab w:val="left" w:pos="993"/>
          <w:tab w:val="left" w:pos="1276"/>
        </w:tabs>
        <w:ind w:left="1276" w:hanging="879"/>
        <w:jc w:val="left"/>
      </w:pPr>
      <w:r w:rsidRPr="006F12D4">
        <w:t>AE</w:t>
      </w:r>
      <w:r>
        <w:t>F</w:t>
      </w:r>
      <w:r w:rsidR="00F259A6">
        <w:tab/>
      </w:r>
      <w:r>
        <w:t>=</w:t>
      </w:r>
      <w:r w:rsidR="00F259A6">
        <w:tab/>
      </w:r>
      <w:r w:rsidRPr="006F12D4">
        <w:t xml:space="preserve">the </w:t>
      </w:r>
      <w:r w:rsidRPr="007F5E86">
        <w:rPr>
          <w:u w:val="single"/>
        </w:rPr>
        <w:t>default</w:t>
      </w:r>
      <w:r>
        <w:t xml:space="preserve"> </w:t>
      </w:r>
      <w:r w:rsidRPr="006F12D4">
        <w:t>installation leakage for new equipment</w:t>
      </w:r>
      <w:r>
        <w:t xml:space="preserve"> </w:t>
      </w:r>
      <w:r w:rsidRPr="006F12D4">
        <w:t>(%).</w:t>
      </w:r>
      <w:r w:rsidR="00EC1311">
        <w:t xml:space="preserve"> </w:t>
      </w:r>
      <w:r w:rsidRPr="00EC1311">
        <w:t>This is omitted if the equipment has been pre-charged by the manufacturer</w:t>
      </w:r>
    </w:p>
    <w:p w:rsidR="00EC1311" w:rsidRPr="00F259A6" w:rsidRDefault="009E3385" w:rsidP="008A0AFC">
      <w:pPr>
        <w:spacing w:before="240"/>
        <w:ind w:left="397"/>
        <w:jc w:val="left"/>
        <w:rPr>
          <w:b/>
          <w:i/>
        </w:rPr>
      </w:pPr>
      <w:r w:rsidRPr="00F259A6">
        <w:rPr>
          <w:b/>
          <w:i/>
        </w:rPr>
        <w:t>OE = C x ALR</w:t>
      </w:r>
    </w:p>
    <w:p w:rsidR="009E3385" w:rsidRPr="006F12D4" w:rsidRDefault="009E3385" w:rsidP="008A0AFC">
      <w:pPr>
        <w:tabs>
          <w:tab w:val="left" w:pos="993"/>
          <w:tab w:val="left" w:pos="1276"/>
        </w:tabs>
        <w:ind w:left="397"/>
        <w:jc w:val="left"/>
      </w:pPr>
      <w:r w:rsidRPr="006F12D4">
        <w:t>C</w:t>
      </w:r>
      <w:r w:rsidRPr="006F12D4">
        <w:tab/>
      </w:r>
      <w:r w:rsidR="00F259A6">
        <w:t>=</w:t>
      </w:r>
      <w:r w:rsidR="00F259A6">
        <w:tab/>
      </w:r>
      <w:r w:rsidRPr="006F12D4">
        <w:t xml:space="preserve">original </w:t>
      </w:r>
      <w:r>
        <w:t xml:space="preserve">full </w:t>
      </w:r>
      <w:r w:rsidRPr="006F12D4">
        <w:t>refrigerant charge in equipment (kg)</w:t>
      </w:r>
    </w:p>
    <w:p w:rsidR="009E3385" w:rsidRDefault="009E3385" w:rsidP="008A0AFC">
      <w:pPr>
        <w:tabs>
          <w:tab w:val="left" w:pos="993"/>
          <w:tab w:val="left" w:pos="1276"/>
        </w:tabs>
        <w:ind w:left="397"/>
        <w:jc w:val="left"/>
      </w:pPr>
      <w:r w:rsidRPr="006F12D4">
        <w:t>ALR</w:t>
      </w:r>
      <w:r w:rsidRPr="006F12D4">
        <w:tab/>
      </w:r>
      <w:r w:rsidR="00F259A6">
        <w:t>=</w:t>
      </w:r>
      <w:r w:rsidR="00F259A6">
        <w:tab/>
      </w:r>
      <w:r w:rsidRPr="006F12D4">
        <w:t xml:space="preserve">the </w:t>
      </w:r>
      <w:r w:rsidRPr="006F12D4">
        <w:rPr>
          <w:u w:val="single"/>
        </w:rPr>
        <w:t>default</w:t>
      </w:r>
      <w:r w:rsidRPr="006F12D4">
        <w:t xml:space="preserve"> annual leakage emission factor for equipment (%).</w:t>
      </w:r>
    </w:p>
    <w:p w:rsidR="00EC1311" w:rsidRPr="00F259A6" w:rsidRDefault="009E3385" w:rsidP="008A0AFC">
      <w:pPr>
        <w:spacing w:before="240"/>
        <w:ind w:left="397"/>
        <w:jc w:val="left"/>
        <w:rPr>
          <w:b/>
          <w:i/>
        </w:rPr>
      </w:pPr>
      <w:r w:rsidRPr="00F259A6">
        <w:rPr>
          <w:b/>
          <w:i/>
        </w:rPr>
        <w:t>DE = (C x (1</w:t>
      </w:r>
      <w:r w:rsidR="00EC1311" w:rsidRPr="00F259A6">
        <w:rPr>
          <w:b/>
          <w:i/>
        </w:rPr>
        <w:t xml:space="preserve"> – </w:t>
      </w:r>
      <w:r w:rsidRPr="00F259A6">
        <w:rPr>
          <w:b/>
          <w:i/>
        </w:rPr>
        <w:t>(ALR x S)) x (1 – R)</w:t>
      </w:r>
      <w:r w:rsidR="00EC1311" w:rsidRPr="00F259A6">
        <w:rPr>
          <w:b/>
          <w:i/>
        </w:rPr>
        <w:t xml:space="preserve"> – </w:t>
      </w:r>
      <w:r w:rsidRPr="00F259A6">
        <w:rPr>
          <w:b/>
          <w:i/>
        </w:rPr>
        <w:t>D)</w:t>
      </w:r>
    </w:p>
    <w:p w:rsidR="009E3385" w:rsidRPr="006F12D4" w:rsidRDefault="009E3385" w:rsidP="008A0AFC">
      <w:pPr>
        <w:tabs>
          <w:tab w:val="left" w:pos="993"/>
          <w:tab w:val="left" w:pos="1276"/>
        </w:tabs>
        <w:ind w:left="397"/>
        <w:jc w:val="left"/>
      </w:pPr>
      <w:r w:rsidRPr="006F12D4">
        <w:t>C</w:t>
      </w:r>
      <w:r w:rsidR="00F259A6">
        <w:tab/>
      </w:r>
      <w:r>
        <w:t>=</w:t>
      </w:r>
      <w:r w:rsidR="00F259A6">
        <w:tab/>
      </w:r>
      <w:r w:rsidRPr="006F12D4">
        <w:t xml:space="preserve">original </w:t>
      </w:r>
      <w:r>
        <w:t xml:space="preserve">full </w:t>
      </w:r>
      <w:r w:rsidRPr="006F12D4">
        <w:t>refrigerant charge in equipment (kg)</w:t>
      </w:r>
    </w:p>
    <w:p w:rsidR="009E3385" w:rsidRPr="006F12D4" w:rsidRDefault="009E3385" w:rsidP="008A0AFC">
      <w:pPr>
        <w:tabs>
          <w:tab w:val="left" w:pos="993"/>
          <w:tab w:val="left" w:pos="1276"/>
        </w:tabs>
        <w:ind w:left="397"/>
        <w:jc w:val="left"/>
      </w:pPr>
      <w:r w:rsidRPr="006F12D4">
        <w:t>ALR</w:t>
      </w:r>
      <w:r w:rsidR="00F259A6">
        <w:tab/>
      </w:r>
      <w:r>
        <w:t>=</w:t>
      </w:r>
      <w:r w:rsidR="00F259A6">
        <w:tab/>
      </w:r>
      <w:r w:rsidRPr="006F12D4">
        <w:t xml:space="preserve">the </w:t>
      </w:r>
      <w:r w:rsidRPr="00AC0798">
        <w:rPr>
          <w:u w:val="single"/>
        </w:rPr>
        <w:t>default</w:t>
      </w:r>
      <w:r w:rsidRPr="009951D6">
        <w:t xml:space="preserve"> </w:t>
      </w:r>
      <w:r w:rsidRPr="006F12D4">
        <w:t>leakage for equipment (%)</w:t>
      </w:r>
    </w:p>
    <w:p w:rsidR="009E3385" w:rsidRPr="006F12D4" w:rsidRDefault="009E3385" w:rsidP="008A0AFC">
      <w:pPr>
        <w:tabs>
          <w:tab w:val="left" w:pos="993"/>
          <w:tab w:val="left" w:pos="1276"/>
        </w:tabs>
        <w:ind w:left="397"/>
        <w:jc w:val="left"/>
      </w:pPr>
      <w:r w:rsidRPr="006F12D4">
        <w:t>S</w:t>
      </w:r>
      <w:r w:rsidR="00F259A6">
        <w:tab/>
      </w:r>
      <w:r>
        <w:t>=</w:t>
      </w:r>
      <w:r w:rsidR="00F259A6">
        <w:tab/>
      </w:r>
      <w:r w:rsidRPr="006F12D4">
        <w:t>time since last recharge of equipment (years)</w:t>
      </w:r>
    </w:p>
    <w:p w:rsidR="009E3385" w:rsidRPr="006F12D4" w:rsidRDefault="009E3385" w:rsidP="008A0AFC">
      <w:pPr>
        <w:tabs>
          <w:tab w:val="left" w:pos="993"/>
          <w:tab w:val="left" w:pos="1276"/>
        </w:tabs>
        <w:ind w:left="397"/>
        <w:jc w:val="left"/>
      </w:pPr>
      <w:r w:rsidRPr="006F12D4">
        <w:t>R</w:t>
      </w:r>
      <w:r w:rsidR="00F259A6">
        <w:tab/>
      </w:r>
      <w:r>
        <w:t>=</w:t>
      </w:r>
      <w:r w:rsidR="00F259A6">
        <w:tab/>
      </w:r>
      <w:r w:rsidRPr="006F12D4">
        <w:t>amount of charge recycled from equipment (%)</w:t>
      </w:r>
    </w:p>
    <w:p w:rsidR="009E3385" w:rsidRDefault="009E3385" w:rsidP="008A0AFC">
      <w:pPr>
        <w:tabs>
          <w:tab w:val="left" w:pos="993"/>
          <w:tab w:val="left" w:pos="1276"/>
        </w:tabs>
        <w:ind w:left="397"/>
        <w:jc w:val="left"/>
      </w:pPr>
      <w:r w:rsidRPr="006F12D4">
        <w:t>D</w:t>
      </w:r>
      <w:r w:rsidR="00F259A6">
        <w:tab/>
      </w:r>
      <w:r>
        <w:t>=</w:t>
      </w:r>
      <w:r w:rsidR="00F259A6">
        <w:tab/>
      </w:r>
      <w:r w:rsidRPr="006F12D4">
        <w:t>amount of refrigerant destroyed from equipment (kg)</w:t>
      </w:r>
    </w:p>
    <w:p w:rsidR="009E3385" w:rsidRDefault="009E3385" w:rsidP="008A0AFC">
      <w:pPr>
        <w:jc w:val="left"/>
      </w:pPr>
    </w:p>
    <w:p w:rsidR="009E3385" w:rsidRDefault="009E3385" w:rsidP="008A0AFC">
      <w:pPr>
        <w:jc w:val="left"/>
      </w:pPr>
      <w:r>
        <w:t xml:space="preserve">Default leakage rates for calculation of installation (IE) and operating emissions (OE) are contained in </w:t>
      </w:r>
      <w:r w:rsidR="00EB1450">
        <w:t>table</w:t>
      </w:r>
      <w:r w:rsidR="005E691D">
        <w:t xml:space="preserve"> </w:t>
      </w:r>
      <w:r w:rsidR="00A666F0">
        <w:t>12</w:t>
      </w:r>
      <w:r>
        <w:t>. When calculating disposal emissions (DE), a value of zero (</w:t>
      </w:r>
      <w:proofErr w:type="spellStart"/>
      <w:r>
        <w:t>ie</w:t>
      </w:r>
      <w:proofErr w:type="spellEnd"/>
      <w:r>
        <w:t>, no recycling or destruction) must be assumed if the amount of recycled (R) or destroyed (D) refrigerant is unknown.</w:t>
      </w:r>
    </w:p>
    <w:p w:rsidR="009E3385" w:rsidRDefault="009E3385" w:rsidP="008A0AFC">
      <w:pPr>
        <w:jc w:val="left"/>
      </w:pPr>
    </w:p>
    <w:p w:rsidR="009E3385" w:rsidRDefault="009E3385" w:rsidP="008A0AFC">
      <w:pPr>
        <w:jc w:val="left"/>
      </w:pPr>
      <w:r>
        <w:t>The type and quantity of HFC contained in the equipment will often be shown on the equipment compliance plate. If not, then this method requires service agents</w:t>
      </w:r>
      <w:r w:rsidR="00EC1311">
        <w:t>’</w:t>
      </w:r>
      <w:r>
        <w:t xml:space="preserve"> advice being sought for refrigerant type and full refrigerant charge of each piece of equipment operated by the organisation.</w:t>
      </w:r>
    </w:p>
    <w:p w:rsidR="009E3385" w:rsidRDefault="009E3385" w:rsidP="008A0AFC">
      <w:pPr>
        <w:jc w:val="left"/>
      </w:pPr>
    </w:p>
    <w:p w:rsidR="00EC1311" w:rsidRDefault="009E3385" w:rsidP="008A0AFC">
      <w:pPr>
        <w:spacing w:after="120"/>
        <w:jc w:val="left"/>
        <w:rPr>
          <w:rFonts w:ascii="Arial" w:hAnsi="Arial" w:cs="Arial"/>
          <w:b/>
        </w:rPr>
      </w:pPr>
      <w:r w:rsidRPr="0023049D">
        <w:rPr>
          <w:rFonts w:ascii="Arial" w:hAnsi="Arial" w:cs="Arial"/>
          <w:b/>
        </w:rPr>
        <w:t xml:space="preserve">Method C </w:t>
      </w:r>
      <w:r>
        <w:rPr>
          <w:rFonts w:ascii="Arial" w:hAnsi="Arial" w:cs="Arial"/>
          <w:b/>
        </w:rPr>
        <w:t>–</w:t>
      </w:r>
      <w:r w:rsidRPr="0023049D">
        <w:rPr>
          <w:rFonts w:ascii="Arial" w:hAnsi="Arial" w:cs="Arial"/>
          <w:b/>
        </w:rPr>
        <w:t xml:space="preserve"> Default annual leakage rate and default refrigerant charge</w:t>
      </w:r>
    </w:p>
    <w:p w:rsidR="00F259A6" w:rsidRPr="00961238" w:rsidRDefault="00F259A6" w:rsidP="008A0AFC">
      <w:pPr>
        <w:pStyle w:val="Box"/>
        <w:pBdr>
          <w:top w:val="single" w:sz="6" w:space="6" w:color="auto"/>
          <w:left w:val="single" w:sz="6" w:space="6" w:color="auto"/>
          <w:bottom w:val="single" w:sz="6" w:space="6" w:color="auto"/>
          <w:right w:val="single" w:sz="6" w:space="6" w:color="auto"/>
        </w:pBdr>
        <w:spacing w:before="0"/>
        <w:ind w:left="142" w:right="142"/>
        <w:jc w:val="left"/>
        <w:rPr>
          <w:b/>
          <w:i/>
          <w:lang w:val="nb-NO"/>
        </w:rPr>
      </w:pPr>
      <w:r w:rsidRPr="00EC1311">
        <w:rPr>
          <w:rFonts w:cs="Arial"/>
          <w:b/>
          <w:bCs/>
          <w:i/>
          <w:szCs w:val="22"/>
        </w:rPr>
        <w:t>E = (IE +(C x ALR</w:t>
      </w:r>
      <w:r w:rsidR="00E74775" w:rsidRPr="00EC1311">
        <w:rPr>
          <w:rFonts w:cs="Arial"/>
          <w:b/>
          <w:bCs/>
          <w:i/>
          <w:szCs w:val="22"/>
        </w:rPr>
        <w:t>) +</w:t>
      </w:r>
      <w:r w:rsidRPr="00EC1311">
        <w:rPr>
          <w:rFonts w:cs="Arial"/>
          <w:b/>
          <w:bCs/>
          <w:i/>
          <w:szCs w:val="22"/>
        </w:rPr>
        <w:t>DE) x GW</w:t>
      </w:r>
      <w:r w:rsidRPr="00961238">
        <w:rPr>
          <w:b/>
          <w:i/>
          <w:lang w:val="nb-NO"/>
        </w:rPr>
        <w:t>P</w:t>
      </w:r>
    </w:p>
    <w:p w:rsidR="009E3385" w:rsidRDefault="009E3385" w:rsidP="008A0AFC">
      <w:pPr>
        <w:jc w:val="left"/>
      </w:pPr>
    </w:p>
    <w:p w:rsidR="00EC1311" w:rsidRDefault="009E3385" w:rsidP="008A0AFC">
      <w:pPr>
        <w:jc w:val="left"/>
      </w:pPr>
      <w:r>
        <w:t>Where:</w:t>
      </w:r>
    </w:p>
    <w:p w:rsidR="009E3385" w:rsidRDefault="009E3385" w:rsidP="008A0AFC">
      <w:pPr>
        <w:tabs>
          <w:tab w:val="left" w:pos="567"/>
          <w:tab w:val="left" w:pos="851"/>
        </w:tabs>
        <w:jc w:val="left"/>
      </w:pPr>
      <w:r w:rsidRPr="006F12D4">
        <w:t>E</w:t>
      </w:r>
      <w:r w:rsidR="005E691D">
        <w:tab/>
      </w:r>
      <w:r>
        <w:t>=</w:t>
      </w:r>
      <w:r w:rsidR="005E691D">
        <w:tab/>
      </w:r>
      <w:r w:rsidRPr="006F12D4">
        <w:t>emissions</w:t>
      </w:r>
      <w:r>
        <w:t xml:space="preserve"> </w:t>
      </w:r>
      <w:r w:rsidRPr="006F12D4">
        <w:t xml:space="preserve">from equipment in </w:t>
      </w:r>
      <w:r>
        <w:t>kg</w:t>
      </w:r>
      <w:r w:rsidRPr="006F12D4">
        <w:t xml:space="preserve"> CO</w:t>
      </w:r>
      <w:r w:rsidRPr="006F12D4">
        <w:rPr>
          <w:vertAlign w:val="subscript"/>
        </w:rPr>
        <w:t>2</w:t>
      </w:r>
      <w:r w:rsidRPr="006F12D4">
        <w:t>-e</w:t>
      </w:r>
    </w:p>
    <w:p w:rsidR="009E3385" w:rsidRPr="006F12D4" w:rsidRDefault="009E3385" w:rsidP="008A0AFC">
      <w:pPr>
        <w:tabs>
          <w:tab w:val="left" w:pos="567"/>
          <w:tab w:val="left" w:pos="851"/>
        </w:tabs>
        <w:jc w:val="left"/>
      </w:pPr>
      <w:r>
        <w:t>IE</w:t>
      </w:r>
      <w:r w:rsidR="005E691D">
        <w:tab/>
      </w:r>
      <w:r>
        <w:t>=</w:t>
      </w:r>
      <w:r w:rsidR="005E691D">
        <w:tab/>
      </w:r>
      <w:r>
        <w:t>installation emissions (as per method B)</w:t>
      </w:r>
    </w:p>
    <w:p w:rsidR="009E3385" w:rsidRPr="006F12D4" w:rsidRDefault="009E3385" w:rsidP="008A0AFC">
      <w:pPr>
        <w:tabs>
          <w:tab w:val="left" w:pos="567"/>
          <w:tab w:val="left" w:pos="851"/>
        </w:tabs>
        <w:jc w:val="left"/>
      </w:pPr>
      <w:r w:rsidRPr="006F12D4">
        <w:t>C</w:t>
      </w:r>
      <w:r w:rsidR="005E691D">
        <w:tab/>
      </w:r>
      <w:r>
        <w:t>=</w:t>
      </w:r>
      <w:r w:rsidR="005E691D">
        <w:tab/>
      </w:r>
      <w:r w:rsidRPr="006F12D4">
        <w:rPr>
          <w:u w:val="single"/>
        </w:rPr>
        <w:t>default</w:t>
      </w:r>
      <w:r w:rsidRPr="006F12D4">
        <w:t xml:space="preserve"> refrigerant charge in each piece of equipment (kg)</w:t>
      </w:r>
    </w:p>
    <w:p w:rsidR="009E3385" w:rsidRDefault="009E3385" w:rsidP="008A0AFC">
      <w:pPr>
        <w:tabs>
          <w:tab w:val="left" w:pos="567"/>
          <w:tab w:val="left" w:pos="851"/>
        </w:tabs>
        <w:jc w:val="left"/>
      </w:pPr>
      <w:r w:rsidRPr="006F12D4">
        <w:t>ALR</w:t>
      </w:r>
      <w:r w:rsidR="005E691D">
        <w:tab/>
      </w:r>
      <w:r>
        <w:t>=</w:t>
      </w:r>
      <w:r w:rsidR="005E691D">
        <w:tab/>
      </w:r>
      <w:r w:rsidRPr="006F12D4">
        <w:rPr>
          <w:u w:val="single"/>
        </w:rPr>
        <w:t>default</w:t>
      </w:r>
      <w:r w:rsidRPr="006F12D4">
        <w:t xml:space="preserve"> annual leakage emission factor for equipment (%)</w:t>
      </w:r>
    </w:p>
    <w:p w:rsidR="009E3385" w:rsidRPr="006F12D4" w:rsidRDefault="009E3385" w:rsidP="008A0AFC">
      <w:pPr>
        <w:tabs>
          <w:tab w:val="left" w:pos="567"/>
          <w:tab w:val="left" w:pos="851"/>
        </w:tabs>
        <w:jc w:val="left"/>
      </w:pPr>
      <w:r>
        <w:t>DE</w:t>
      </w:r>
      <w:r w:rsidR="005E691D">
        <w:tab/>
      </w:r>
      <w:r>
        <w:t>=</w:t>
      </w:r>
      <w:r w:rsidR="005E691D">
        <w:tab/>
      </w:r>
      <w:r>
        <w:t>disposal emissions (as per method B)</w:t>
      </w:r>
    </w:p>
    <w:p w:rsidR="009E3385" w:rsidRDefault="009E3385" w:rsidP="008A0AFC">
      <w:pPr>
        <w:tabs>
          <w:tab w:val="left" w:pos="567"/>
          <w:tab w:val="left" w:pos="851"/>
        </w:tabs>
        <w:jc w:val="left"/>
      </w:pPr>
      <w:r w:rsidRPr="006F12D4">
        <w:t>GWP</w:t>
      </w:r>
      <w:r w:rsidR="005E691D">
        <w:tab/>
      </w:r>
      <w:r>
        <w:t>=</w:t>
      </w:r>
      <w:r w:rsidR="005E691D">
        <w:tab/>
      </w:r>
      <w:r w:rsidRPr="006F12D4">
        <w:t xml:space="preserve">the 100-year global warming potential of the refrigerant used in equipment </w:t>
      </w:r>
      <w:r>
        <w:t>(</w:t>
      </w:r>
      <w:r w:rsidR="00EB1450">
        <w:t>table</w:t>
      </w:r>
      <w:r w:rsidR="005E691D">
        <w:t xml:space="preserve"> </w:t>
      </w:r>
      <w:r w:rsidR="00FC0823">
        <w:t>24</w:t>
      </w:r>
      <w:r>
        <w:t>)</w:t>
      </w:r>
    </w:p>
    <w:p w:rsidR="009E3385" w:rsidRPr="006F12D4" w:rsidRDefault="009E3385" w:rsidP="008A0AFC">
      <w:pPr>
        <w:jc w:val="left"/>
      </w:pPr>
    </w:p>
    <w:p w:rsidR="00EC1311" w:rsidRDefault="009E3385" w:rsidP="00D86F55">
      <w:pPr>
        <w:jc w:val="left"/>
      </w:pPr>
      <w:r>
        <w:lastRenderedPageBreak/>
        <w:t>Method C is the same as Method B except that it allows default refrigerant quantities to be used as well as default leakage rates.</w:t>
      </w:r>
      <w:r w:rsidR="00EC1311">
        <w:t xml:space="preserve"> </w:t>
      </w:r>
      <w:r w:rsidR="005E691D">
        <w:t xml:space="preserve">Table </w:t>
      </w:r>
      <w:r w:rsidR="00A666F0">
        <w:t xml:space="preserve">12 </w:t>
      </w:r>
      <w:r>
        <w:t>contains default refrigerant amounts for the New Zealand refrigeration and air</w:t>
      </w:r>
      <w:r w:rsidR="007E26E6">
        <w:t>-</w:t>
      </w:r>
      <w:r>
        <w:t>conditioning equipment stock.</w:t>
      </w:r>
    </w:p>
    <w:p w:rsidR="009E3385" w:rsidRDefault="009E3385" w:rsidP="00D86F55">
      <w:pPr>
        <w:jc w:val="left"/>
      </w:pPr>
    </w:p>
    <w:p w:rsidR="009E3385" w:rsidRPr="00EA1C52" w:rsidRDefault="009E3385" w:rsidP="00D86F55">
      <w:pPr>
        <w:pStyle w:val="Heading4"/>
        <w:jc w:val="left"/>
      </w:pPr>
      <w:r w:rsidRPr="00EA1C52">
        <w:t>Choosing a method</w:t>
      </w:r>
    </w:p>
    <w:p w:rsidR="009E3385" w:rsidRDefault="009E3385" w:rsidP="00D86F55">
      <w:pPr>
        <w:jc w:val="left"/>
      </w:pPr>
      <w:r>
        <w:t>The most accurate methodology is Method A – the life-cycle stage approach.</w:t>
      </w:r>
      <w:r w:rsidR="00EC1311">
        <w:t xml:space="preserve"> </w:t>
      </w:r>
      <w:r>
        <w:t>The information required can be collected with the</w:t>
      </w:r>
      <w:r>
        <w:rPr>
          <w:b/>
        </w:rPr>
        <w:t xml:space="preserve"> </w:t>
      </w:r>
      <w:r w:rsidR="007E26E6">
        <w:t xml:space="preserve">help </w:t>
      </w:r>
      <w:r>
        <w:t>of service agents, vehicle fleet managers or building managers. Currently however, these quantities are seldom recorded but it would be good practice to encourage service agents to record these amounts for future reporting.</w:t>
      </w:r>
      <w:r w:rsidR="00EC1311">
        <w:t xml:space="preserve"> </w:t>
      </w:r>
      <w:r>
        <w:t>If an organisation determines that emissions from equipment are significant then it should endeavour to move to a Method A approach to estimate HFC emissions.</w:t>
      </w:r>
    </w:p>
    <w:p w:rsidR="009E3385" w:rsidRDefault="009E3385" w:rsidP="00D86F55">
      <w:pPr>
        <w:jc w:val="left"/>
      </w:pPr>
    </w:p>
    <w:p w:rsidR="009E3385" w:rsidRPr="00A76DC1" w:rsidRDefault="009E3385" w:rsidP="00D86F55">
      <w:pPr>
        <w:jc w:val="left"/>
      </w:pPr>
      <w:r>
        <w:t>In some circumstances, gathering the information required for Method A may not be possible or</w:t>
      </w:r>
      <w:r w:rsidR="001B7F03">
        <w:t>,</w:t>
      </w:r>
      <w:r>
        <w:t xml:space="preserve"> due to the resource intensive nature of collecting detailed information for a particular type of equipment, may not be justifiable. If so, then Method B and C can be used in some circumstances (refer to guidance in </w:t>
      </w:r>
      <w:r w:rsidR="00EB1450">
        <w:t>table</w:t>
      </w:r>
      <w:r w:rsidR="005E691D">
        <w:t xml:space="preserve"> </w:t>
      </w:r>
      <w:r w:rsidR="00A666F0">
        <w:t>12</w:t>
      </w:r>
      <w:r>
        <w:t xml:space="preserve">) to measure leakage rates with the default factors also provided in </w:t>
      </w:r>
      <w:r w:rsidR="00EB1450">
        <w:t>table</w:t>
      </w:r>
      <w:r w:rsidR="005E691D">
        <w:t xml:space="preserve"> </w:t>
      </w:r>
      <w:r w:rsidR="00A666F0">
        <w:t>12</w:t>
      </w:r>
      <w:r>
        <w:t>.</w:t>
      </w:r>
      <w:r w:rsidR="00EC1311">
        <w:t xml:space="preserve"> </w:t>
      </w:r>
      <w:r>
        <w:t xml:space="preserve">Method B and C are based on the </w:t>
      </w:r>
      <w:r w:rsidR="00EC1311">
        <w:t>‘</w:t>
      </w:r>
      <w:r>
        <w:t>screening</w:t>
      </w:r>
      <w:r w:rsidR="00EC1311">
        <w:t>’</w:t>
      </w:r>
      <w:r w:rsidR="00833119">
        <w:t xml:space="preserve"> method approach contained in </w:t>
      </w:r>
      <w:r w:rsidR="00833119" w:rsidRPr="00833119">
        <w:rPr>
          <w:i/>
        </w:rPr>
        <w:t>T</w:t>
      </w:r>
      <w:r w:rsidRPr="00833119">
        <w:rPr>
          <w:i/>
        </w:rPr>
        <w:t xml:space="preserve">he </w:t>
      </w:r>
      <w:r w:rsidR="00666E7D">
        <w:rPr>
          <w:i/>
        </w:rPr>
        <w:t>GHG Protocol HFC tool</w:t>
      </w:r>
      <w:r w:rsidR="00666E7D">
        <w:t xml:space="preserve"> (WRI/WBCSD</w:t>
      </w:r>
      <w:r w:rsidR="00AD0D6D">
        <w:t>,</w:t>
      </w:r>
      <w:r w:rsidR="00666E7D">
        <w:t xml:space="preserve"> 2005)</w:t>
      </w:r>
      <w:r>
        <w:t>.</w:t>
      </w:r>
    </w:p>
    <w:p w:rsidR="009E3385" w:rsidRDefault="009E3385" w:rsidP="00D86F55">
      <w:pPr>
        <w:jc w:val="left"/>
      </w:pPr>
    </w:p>
    <w:p w:rsidR="00EC1311" w:rsidRDefault="009E3385" w:rsidP="00D86F55">
      <w:pPr>
        <w:jc w:val="left"/>
      </w:pPr>
      <w:r>
        <w:t>In some cases</w:t>
      </w:r>
      <w:r w:rsidR="005728BB">
        <w:t>,</w:t>
      </w:r>
      <w:r>
        <w:t xml:space="preserve"> Method C is only suitable for investigating the approximate quantity of emissions when the refrigerant charge amount is unavailable.</w:t>
      </w:r>
      <w:r w:rsidR="00EC1311">
        <w:t xml:space="preserve"> </w:t>
      </w:r>
      <w:r>
        <w:t>Screening provides a way of determining if the equipment should/should not be excluded based on significance of emissions from refrigerants.</w:t>
      </w:r>
      <w:r w:rsidR="00EC1311">
        <w:t xml:space="preserve"> </w:t>
      </w:r>
      <w:r>
        <w:t>However, sometimes, depending on the equipment in question, Methods B and C would be so unreliable that they would be unacceptable even for a screening method.</w:t>
      </w:r>
    </w:p>
    <w:p w:rsidR="009E3385" w:rsidRDefault="009E3385" w:rsidP="00D86F55">
      <w:pPr>
        <w:jc w:val="left"/>
      </w:pPr>
    </w:p>
    <w:p w:rsidR="00EC1311" w:rsidRDefault="009E3385" w:rsidP="00D86F55">
      <w:pPr>
        <w:jc w:val="left"/>
      </w:pPr>
      <w:r>
        <w:t xml:space="preserve">Apart from office refrigerators, water coolers and car/van air conditioning, Method A should be considered the recommended method (see </w:t>
      </w:r>
      <w:r w:rsidR="00EB1450">
        <w:t>table</w:t>
      </w:r>
      <w:r w:rsidR="005E691D">
        <w:t xml:space="preserve"> </w:t>
      </w:r>
      <w:r w:rsidR="00A666F0">
        <w:t>12</w:t>
      </w:r>
      <w:r>
        <w:t>).</w:t>
      </w:r>
      <w:r w:rsidR="00EC1311">
        <w:t xml:space="preserve"> </w:t>
      </w:r>
      <w:r>
        <w:t>For most equipment, Method B would be acceptable, especially for factory and office situations where refrigeration and air</w:t>
      </w:r>
      <w:r w:rsidR="005728BB">
        <w:t>-</w:t>
      </w:r>
      <w:r>
        <w:t>conditioning equipment is incidental rather than central to an organisation</w:t>
      </w:r>
      <w:r w:rsidR="00EC1311">
        <w:t>’</w:t>
      </w:r>
      <w:r>
        <w:t>s operations.</w:t>
      </w:r>
    </w:p>
    <w:p w:rsidR="009E3385" w:rsidRDefault="009E3385" w:rsidP="00D86F55">
      <w:pPr>
        <w:jc w:val="left"/>
      </w:pPr>
    </w:p>
    <w:p w:rsidR="00EC1311" w:rsidRDefault="009E3385" w:rsidP="00D86F55">
      <w:pPr>
        <w:jc w:val="left"/>
      </w:pPr>
      <w:r>
        <w:t xml:space="preserve">For supermarket refrigeration, commercial air conditioning (above 20kW), dairy farming, industrial, commercial and laboratory </w:t>
      </w:r>
      <w:r w:rsidR="009C2ACE">
        <w:t>cool stores</w:t>
      </w:r>
      <w:r>
        <w:t>, the size ranges and configurations are so varied there will be no meaningful default refrigerant charge amounts or emission factors.</w:t>
      </w:r>
      <w:r w:rsidR="00EC1311">
        <w:t xml:space="preserve"> </w:t>
      </w:r>
      <w:r>
        <w:t>In these cases, there would be no reasonable alternative to Method A, relying on the leakage information available from service agents.</w:t>
      </w:r>
    </w:p>
    <w:p w:rsidR="009E3385" w:rsidRDefault="009E3385" w:rsidP="00D86F55">
      <w:pPr>
        <w:jc w:val="left"/>
      </w:pPr>
    </w:p>
    <w:p w:rsidR="00EC1311" w:rsidRDefault="009E3385" w:rsidP="00D86F55">
      <w:pPr>
        <w:jc w:val="left"/>
      </w:pPr>
      <w:r w:rsidRPr="004F7B2B">
        <w:t xml:space="preserve">It is stressed that for all equipment for all </w:t>
      </w:r>
      <w:r>
        <w:t>m</w:t>
      </w:r>
      <w:r w:rsidRPr="004F7B2B">
        <w:t xml:space="preserve">ethods, the type of refrigerant must be individually identified because the global warming potential of various refrigerant mixes are widely variable (see </w:t>
      </w:r>
      <w:r w:rsidR="00EB1450">
        <w:t>table</w:t>
      </w:r>
      <w:r w:rsidR="005E691D">
        <w:t xml:space="preserve"> </w:t>
      </w:r>
      <w:r w:rsidR="00A666F0">
        <w:t>13</w:t>
      </w:r>
      <w:r w:rsidRPr="004F7B2B">
        <w:t>).</w:t>
      </w:r>
    </w:p>
    <w:p w:rsidR="009E3385" w:rsidRDefault="009E3385" w:rsidP="00D86F55">
      <w:pPr>
        <w:jc w:val="left"/>
      </w:pPr>
    </w:p>
    <w:p w:rsidR="009E3385" w:rsidRDefault="009E3385" w:rsidP="00D86F55">
      <w:pPr>
        <w:jc w:val="left"/>
      </w:pPr>
      <w:r>
        <w:t>Organisations should also provide information on the approach used to quantify direct HFC emissions in their inventories to reflect the different levels of associated accuracy and uncertainty with each method.</w:t>
      </w:r>
    </w:p>
    <w:p w:rsidR="005E691D" w:rsidRDefault="005E691D" w:rsidP="00D86F55">
      <w:pPr>
        <w:jc w:val="left"/>
      </w:pPr>
    </w:p>
    <w:p w:rsidR="00952ABD" w:rsidRDefault="009E3385">
      <w:pPr>
        <w:pStyle w:val="Table"/>
        <w:ind w:left="1185" w:hanging="1185"/>
      </w:pPr>
      <w:bookmarkStart w:id="247" w:name="_Ref208387941"/>
      <w:bookmarkStart w:id="248" w:name="_Toc289084093"/>
      <w:bookmarkStart w:id="249" w:name="_Toc469577151"/>
      <w:r w:rsidRPr="003A7ED3">
        <w:lastRenderedPageBreak/>
        <w:t xml:space="preserve">Table </w:t>
      </w:r>
      <w:bookmarkEnd w:id="247"/>
      <w:r w:rsidR="00A666F0">
        <w:t>1</w:t>
      </w:r>
      <w:r w:rsidR="004117B6">
        <w:t>3</w:t>
      </w:r>
      <w:r w:rsidRPr="003A7ED3">
        <w:t>:</w:t>
      </w:r>
      <w:r w:rsidRPr="005E691D">
        <w:tab/>
        <w:t>Default refrigerant charges and emission factors for refrigeration and air conditioning equipment</w:t>
      </w:r>
      <w:bookmarkEnd w:id="248"/>
      <w:bookmarkEnd w:id="249"/>
    </w:p>
    <w:tbl>
      <w:tblPr>
        <w:tblW w:w="850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837"/>
        <w:gridCol w:w="958"/>
        <w:gridCol w:w="1030"/>
        <w:gridCol w:w="1080"/>
        <w:gridCol w:w="1242"/>
        <w:gridCol w:w="1242"/>
        <w:gridCol w:w="1116"/>
      </w:tblGrid>
      <w:tr w:rsidR="009E3385" w:rsidRPr="005E691D" w:rsidTr="00D81522">
        <w:trPr>
          <w:cantSplit/>
          <w:tblHeader/>
        </w:trPr>
        <w:tc>
          <w:tcPr>
            <w:tcW w:w="2410" w:type="dxa"/>
            <w:vMerge w:val="restart"/>
            <w:shd w:val="clear" w:color="auto" w:fill="D9D9D9"/>
            <w:vAlign w:val="bottom"/>
          </w:tcPr>
          <w:p w:rsidR="009E3385" w:rsidRPr="005E691D" w:rsidRDefault="00475275" w:rsidP="0057715B">
            <w:pPr>
              <w:pStyle w:val="TableText"/>
              <w:keepNext/>
              <w:rPr>
                <w:b/>
              </w:rPr>
            </w:pPr>
            <w:r>
              <w:rPr>
                <w:b/>
              </w:rPr>
              <w:br/>
            </w:r>
            <w:r w:rsidR="009E3385" w:rsidRPr="005E691D">
              <w:rPr>
                <w:b/>
              </w:rPr>
              <w:t>Refrigeration</w:t>
            </w:r>
            <w:r>
              <w:rPr>
                <w:b/>
              </w:rPr>
              <w:br/>
            </w:r>
            <w:r w:rsidR="009E3385" w:rsidRPr="005E691D">
              <w:rPr>
                <w:b/>
              </w:rPr>
              <w:t>unit type</w:t>
            </w:r>
          </w:p>
        </w:tc>
        <w:tc>
          <w:tcPr>
            <w:tcW w:w="992" w:type="dxa"/>
            <w:vMerge w:val="restart"/>
            <w:shd w:val="clear" w:color="auto" w:fill="D9D9D9"/>
            <w:vAlign w:val="bottom"/>
          </w:tcPr>
          <w:p w:rsidR="009E3385" w:rsidRPr="005E691D" w:rsidRDefault="009E3385" w:rsidP="0057715B">
            <w:pPr>
              <w:pStyle w:val="TableText"/>
              <w:keepNext/>
              <w:jc w:val="center"/>
              <w:rPr>
                <w:b/>
                <w:lang w:eastAsia="en-GB"/>
              </w:rPr>
            </w:pPr>
            <w:r w:rsidRPr="005E691D">
              <w:rPr>
                <w:b/>
                <w:lang w:eastAsia="en-GB"/>
              </w:rPr>
              <w:t>Default refrigerant charge (kg)</w:t>
            </w:r>
          </w:p>
        </w:tc>
        <w:tc>
          <w:tcPr>
            <w:tcW w:w="1134" w:type="dxa"/>
            <w:vMerge w:val="restart"/>
            <w:shd w:val="clear" w:color="auto" w:fill="D9D9D9"/>
            <w:vAlign w:val="bottom"/>
          </w:tcPr>
          <w:p w:rsidR="009E3385" w:rsidRPr="005E691D" w:rsidRDefault="009E3385" w:rsidP="0057715B">
            <w:pPr>
              <w:pStyle w:val="TableText"/>
              <w:keepNext/>
              <w:jc w:val="center"/>
              <w:rPr>
                <w:b/>
                <w:lang w:eastAsia="en-GB"/>
              </w:rPr>
            </w:pPr>
            <w:r w:rsidRPr="005E691D">
              <w:rPr>
                <w:b/>
                <w:lang w:eastAsia="en-GB"/>
              </w:rPr>
              <w:t>Default leakage rate (operating – ALR)</w:t>
            </w:r>
          </w:p>
        </w:tc>
        <w:tc>
          <w:tcPr>
            <w:tcW w:w="1133" w:type="dxa"/>
            <w:vMerge w:val="restart"/>
            <w:shd w:val="clear" w:color="auto" w:fill="D9D9D9"/>
            <w:vAlign w:val="bottom"/>
          </w:tcPr>
          <w:p w:rsidR="009E3385" w:rsidRPr="005E691D" w:rsidRDefault="009E3385" w:rsidP="0057715B">
            <w:pPr>
              <w:pStyle w:val="TableText"/>
              <w:keepNext/>
              <w:jc w:val="center"/>
              <w:rPr>
                <w:b/>
                <w:lang w:eastAsia="en-GB"/>
              </w:rPr>
            </w:pPr>
            <w:r w:rsidRPr="005E691D">
              <w:rPr>
                <w:b/>
                <w:lang w:eastAsia="en-GB"/>
              </w:rPr>
              <w:t>Default leakage rate (</w:t>
            </w:r>
            <w:r w:rsidR="000327BD">
              <w:rPr>
                <w:b/>
                <w:lang w:eastAsia="en-GB"/>
              </w:rPr>
              <w:t>i</w:t>
            </w:r>
            <w:r w:rsidRPr="005E691D">
              <w:rPr>
                <w:b/>
                <w:lang w:eastAsia="en-GB"/>
              </w:rPr>
              <w:t>nstallation – AEF)</w:t>
            </w:r>
            <w:r w:rsidRPr="000327BD">
              <w:rPr>
                <w:rStyle w:val="FootnoteReference"/>
              </w:rPr>
              <w:footnoteReference w:id="20"/>
            </w:r>
          </w:p>
        </w:tc>
        <w:tc>
          <w:tcPr>
            <w:tcW w:w="3687" w:type="dxa"/>
            <w:gridSpan w:val="3"/>
            <w:shd w:val="clear" w:color="auto" w:fill="D9D9D9"/>
            <w:vAlign w:val="bottom"/>
          </w:tcPr>
          <w:p w:rsidR="009E3385" w:rsidRPr="005E691D" w:rsidRDefault="009E3385" w:rsidP="0057715B">
            <w:pPr>
              <w:pStyle w:val="TableText"/>
              <w:keepNext/>
              <w:jc w:val="center"/>
              <w:rPr>
                <w:b/>
                <w:lang w:eastAsia="en-GB"/>
              </w:rPr>
            </w:pPr>
            <w:r w:rsidRPr="005E691D">
              <w:rPr>
                <w:b/>
                <w:lang w:eastAsia="en-GB"/>
              </w:rPr>
              <w:t>Guidance on method choice</w:t>
            </w:r>
          </w:p>
        </w:tc>
      </w:tr>
      <w:tr w:rsidR="009E3385" w:rsidRPr="0023049D" w:rsidTr="00D81522">
        <w:trPr>
          <w:cantSplit/>
          <w:tblHeader/>
        </w:trPr>
        <w:tc>
          <w:tcPr>
            <w:tcW w:w="2410" w:type="dxa"/>
            <w:vMerge/>
            <w:shd w:val="clear" w:color="auto" w:fill="D9D9D9"/>
            <w:vAlign w:val="bottom"/>
          </w:tcPr>
          <w:p w:rsidR="00952ABD" w:rsidRDefault="00952ABD" w:rsidP="0057715B">
            <w:pPr>
              <w:pStyle w:val="TableText"/>
            </w:pPr>
          </w:p>
        </w:tc>
        <w:tc>
          <w:tcPr>
            <w:tcW w:w="992" w:type="dxa"/>
            <w:vMerge/>
            <w:shd w:val="clear" w:color="auto" w:fill="D9D9D9"/>
            <w:vAlign w:val="bottom"/>
          </w:tcPr>
          <w:p w:rsidR="00952ABD" w:rsidRDefault="00952ABD" w:rsidP="0057715B">
            <w:pPr>
              <w:pStyle w:val="TableText"/>
            </w:pPr>
          </w:p>
        </w:tc>
        <w:tc>
          <w:tcPr>
            <w:tcW w:w="1134" w:type="dxa"/>
            <w:vMerge/>
            <w:shd w:val="clear" w:color="auto" w:fill="D9D9D9"/>
            <w:vAlign w:val="bottom"/>
          </w:tcPr>
          <w:p w:rsidR="00952ABD" w:rsidRDefault="00952ABD" w:rsidP="0057715B">
            <w:pPr>
              <w:pStyle w:val="TableText"/>
            </w:pPr>
          </w:p>
        </w:tc>
        <w:tc>
          <w:tcPr>
            <w:tcW w:w="1133" w:type="dxa"/>
            <w:vMerge/>
            <w:shd w:val="clear" w:color="auto" w:fill="D9D9D9"/>
            <w:vAlign w:val="bottom"/>
          </w:tcPr>
          <w:p w:rsidR="00952ABD" w:rsidRDefault="00952ABD" w:rsidP="0057715B">
            <w:pPr>
              <w:pStyle w:val="TableText"/>
            </w:pPr>
          </w:p>
        </w:tc>
        <w:tc>
          <w:tcPr>
            <w:tcW w:w="1276" w:type="dxa"/>
            <w:shd w:val="clear" w:color="auto" w:fill="D9D9D9"/>
            <w:vAlign w:val="bottom"/>
          </w:tcPr>
          <w:p w:rsidR="00952ABD" w:rsidRDefault="009E3385" w:rsidP="0057715B">
            <w:pPr>
              <w:pStyle w:val="TableText"/>
              <w:jc w:val="center"/>
              <w:rPr>
                <w:b/>
                <w:lang w:eastAsia="en-GB"/>
              </w:rPr>
            </w:pPr>
            <w:r w:rsidRPr="005E691D">
              <w:rPr>
                <w:b/>
                <w:lang w:eastAsia="en-GB"/>
              </w:rPr>
              <w:t>Method A</w:t>
            </w:r>
          </w:p>
        </w:tc>
        <w:tc>
          <w:tcPr>
            <w:tcW w:w="1276" w:type="dxa"/>
            <w:shd w:val="clear" w:color="auto" w:fill="D9D9D9"/>
            <w:vAlign w:val="bottom"/>
          </w:tcPr>
          <w:p w:rsidR="00952ABD" w:rsidRDefault="009E3385" w:rsidP="0057715B">
            <w:pPr>
              <w:pStyle w:val="TableText"/>
              <w:jc w:val="center"/>
              <w:rPr>
                <w:b/>
                <w:lang w:eastAsia="en-GB"/>
              </w:rPr>
            </w:pPr>
            <w:r w:rsidRPr="005E691D">
              <w:rPr>
                <w:b/>
                <w:lang w:eastAsia="en-GB"/>
              </w:rPr>
              <w:t>Method B</w:t>
            </w:r>
          </w:p>
        </w:tc>
        <w:tc>
          <w:tcPr>
            <w:tcW w:w="1135" w:type="dxa"/>
            <w:shd w:val="clear" w:color="auto" w:fill="D9D9D9"/>
            <w:vAlign w:val="bottom"/>
          </w:tcPr>
          <w:p w:rsidR="00952ABD" w:rsidRDefault="009E3385" w:rsidP="0057715B">
            <w:pPr>
              <w:pStyle w:val="TableText"/>
              <w:jc w:val="center"/>
              <w:rPr>
                <w:b/>
                <w:lang w:eastAsia="en-GB"/>
              </w:rPr>
            </w:pPr>
            <w:r w:rsidRPr="005E691D">
              <w:rPr>
                <w:b/>
                <w:lang w:eastAsia="en-GB"/>
              </w:rPr>
              <w:t>Method C</w:t>
            </w:r>
          </w:p>
        </w:tc>
      </w:tr>
      <w:tr w:rsidR="009E3385" w:rsidRPr="0023049D" w:rsidTr="00D81522">
        <w:trPr>
          <w:cantSplit/>
        </w:trPr>
        <w:tc>
          <w:tcPr>
            <w:tcW w:w="2410" w:type="dxa"/>
            <w:shd w:val="clear" w:color="auto" w:fill="auto"/>
          </w:tcPr>
          <w:p w:rsidR="009E3385" w:rsidRPr="0023049D" w:rsidRDefault="009E3385" w:rsidP="0057715B">
            <w:pPr>
              <w:pStyle w:val="TableText"/>
            </w:pPr>
            <w:r w:rsidRPr="0023049D">
              <w:t>Small refrigerator or freezer</w:t>
            </w:r>
            <w:r w:rsidR="000327BD">
              <w:br/>
            </w:r>
            <w:r w:rsidRPr="0023049D">
              <w:t>(up to 150 litres</w:t>
            </w:r>
            <w:r w:rsidRPr="000D1770">
              <w:rPr>
                <w:vertAlign w:val="superscript"/>
              </w:rPr>
              <w:footnoteReference w:id="21"/>
            </w:r>
            <w:r w:rsidRPr="0023049D">
              <w:t>)</w:t>
            </w:r>
          </w:p>
        </w:tc>
        <w:tc>
          <w:tcPr>
            <w:tcW w:w="992" w:type="dxa"/>
            <w:shd w:val="clear" w:color="auto" w:fill="auto"/>
          </w:tcPr>
          <w:p w:rsidR="009E3385" w:rsidRPr="0023049D" w:rsidRDefault="009E3385" w:rsidP="0057715B">
            <w:pPr>
              <w:pStyle w:val="TableText"/>
              <w:jc w:val="right"/>
              <w:rPr>
                <w:lang w:eastAsia="en-GB"/>
              </w:rPr>
            </w:pPr>
            <w:r w:rsidRPr="0023049D">
              <w:rPr>
                <w:lang w:eastAsia="en-GB"/>
              </w:rPr>
              <w:t>0.07</w:t>
            </w:r>
          </w:p>
        </w:tc>
        <w:tc>
          <w:tcPr>
            <w:tcW w:w="1134" w:type="dxa"/>
            <w:shd w:val="clear" w:color="auto" w:fill="auto"/>
          </w:tcPr>
          <w:p w:rsidR="009E3385" w:rsidRPr="0023049D" w:rsidRDefault="009E3385" w:rsidP="0057715B">
            <w:pPr>
              <w:pStyle w:val="TableText"/>
              <w:jc w:val="right"/>
              <w:rPr>
                <w:lang w:eastAsia="en-GB"/>
              </w:rPr>
            </w:pPr>
            <w:r w:rsidRPr="0023049D">
              <w:rPr>
                <w:lang w:eastAsia="en-GB"/>
              </w:rPr>
              <w:t>3%</w:t>
            </w:r>
          </w:p>
        </w:tc>
        <w:tc>
          <w:tcPr>
            <w:tcW w:w="1133" w:type="dxa"/>
            <w:shd w:val="clear" w:color="auto" w:fill="auto"/>
          </w:tcPr>
          <w:p w:rsidR="009E3385" w:rsidRPr="0023049D" w:rsidRDefault="005E691D" w:rsidP="0057715B">
            <w:pPr>
              <w:pStyle w:val="TableText"/>
              <w:rPr>
                <w:lang w:eastAsia="en-GB"/>
              </w:rPr>
            </w:pPr>
            <w:r w:rsidRPr="0023049D">
              <w:rPr>
                <w:lang w:eastAsia="en-GB"/>
              </w:rPr>
              <w:t xml:space="preserve">Not applicable </w:t>
            </w:r>
          </w:p>
        </w:tc>
        <w:tc>
          <w:tcPr>
            <w:tcW w:w="1276" w:type="dxa"/>
            <w:shd w:val="clear" w:color="auto" w:fill="auto"/>
          </w:tcPr>
          <w:p w:rsidR="009E3385" w:rsidRPr="0023049D" w:rsidRDefault="005E691D" w:rsidP="0057715B">
            <w:pPr>
              <w:pStyle w:val="TableText"/>
              <w:rPr>
                <w:lang w:eastAsia="en-GB"/>
              </w:rPr>
            </w:pPr>
            <w:r w:rsidRPr="0023049D">
              <w:rPr>
                <w:lang w:eastAsia="en-GB"/>
              </w:rPr>
              <w:t>Unnecessary</w:t>
            </w:r>
          </w:p>
        </w:tc>
        <w:tc>
          <w:tcPr>
            <w:tcW w:w="1276" w:type="dxa"/>
            <w:shd w:val="clear" w:color="auto" w:fill="auto"/>
          </w:tcPr>
          <w:p w:rsidR="009E3385" w:rsidRPr="0023049D" w:rsidRDefault="005E691D" w:rsidP="0057715B">
            <w:pPr>
              <w:pStyle w:val="TableText"/>
              <w:rPr>
                <w:lang w:eastAsia="en-GB"/>
              </w:rPr>
            </w:pPr>
            <w:r w:rsidRPr="0023049D">
              <w:rPr>
                <w:lang w:eastAsia="en-GB"/>
              </w:rPr>
              <w:t>Recommended</w:t>
            </w:r>
          </w:p>
        </w:tc>
        <w:tc>
          <w:tcPr>
            <w:tcW w:w="1135" w:type="dxa"/>
            <w:shd w:val="clear" w:color="auto" w:fill="auto"/>
          </w:tcPr>
          <w:p w:rsidR="009E3385" w:rsidRPr="0023049D" w:rsidRDefault="005E691D" w:rsidP="0057715B">
            <w:pPr>
              <w:pStyle w:val="TableText"/>
              <w:rPr>
                <w:lang w:eastAsia="en-GB"/>
              </w:rPr>
            </w:pPr>
            <w:r w:rsidRPr="0023049D">
              <w:rPr>
                <w:lang w:eastAsia="en-GB"/>
              </w:rPr>
              <w:t>Acceptable</w:t>
            </w:r>
          </w:p>
        </w:tc>
      </w:tr>
      <w:tr w:rsidR="009E3385" w:rsidRPr="0023049D" w:rsidTr="00D81522">
        <w:trPr>
          <w:cantSplit/>
        </w:trPr>
        <w:tc>
          <w:tcPr>
            <w:tcW w:w="2410" w:type="dxa"/>
            <w:shd w:val="clear" w:color="auto" w:fill="auto"/>
          </w:tcPr>
          <w:p w:rsidR="009E3385" w:rsidRPr="0023049D" w:rsidRDefault="009E3385" w:rsidP="0057715B">
            <w:pPr>
              <w:pStyle w:val="TableText"/>
            </w:pPr>
            <w:r w:rsidRPr="0023049D">
              <w:t>Medium refrigerator or freezer</w:t>
            </w:r>
            <w:r w:rsidR="000327BD">
              <w:br/>
            </w:r>
            <w:r w:rsidRPr="0023049D">
              <w:t>(up to 300 litres)</w:t>
            </w:r>
          </w:p>
        </w:tc>
        <w:tc>
          <w:tcPr>
            <w:tcW w:w="992" w:type="dxa"/>
            <w:shd w:val="clear" w:color="auto" w:fill="auto"/>
          </w:tcPr>
          <w:p w:rsidR="009E3385" w:rsidRPr="0023049D" w:rsidRDefault="009E3385" w:rsidP="0057715B">
            <w:pPr>
              <w:pStyle w:val="TableText"/>
              <w:jc w:val="right"/>
              <w:rPr>
                <w:lang w:eastAsia="en-GB"/>
              </w:rPr>
            </w:pPr>
            <w:r w:rsidRPr="0023049D">
              <w:rPr>
                <w:lang w:eastAsia="en-GB"/>
              </w:rPr>
              <w:t>0.11</w:t>
            </w:r>
          </w:p>
        </w:tc>
        <w:tc>
          <w:tcPr>
            <w:tcW w:w="1134" w:type="dxa"/>
            <w:shd w:val="clear" w:color="auto" w:fill="auto"/>
          </w:tcPr>
          <w:p w:rsidR="009E3385" w:rsidRPr="0023049D" w:rsidRDefault="009E3385" w:rsidP="0057715B">
            <w:pPr>
              <w:pStyle w:val="TableText"/>
              <w:jc w:val="right"/>
              <w:rPr>
                <w:lang w:eastAsia="en-GB"/>
              </w:rPr>
            </w:pPr>
            <w:r w:rsidRPr="0023049D">
              <w:rPr>
                <w:lang w:eastAsia="en-GB"/>
              </w:rPr>
              <w:t>3%</w:t>
            </w:r>
          </w:p>
        </w:tc>
        <w:tc>
          <w:tcPr>
            <w:tcW w:w="1133" w:type="dxa"/>
            <w:shd w:val="clear" w:color="auto" w:fill="auto"/>
          </w:tcPr>
          <w:p w:rsidR="009E3385" w:rsidRPr="0023049D" w:rsidRDefault="005E691D" w:rsidP="0057715B">
            <w:pPr>
              <w:pStyle w:val="TableText"/>
              <w:rPr>
                <w:lang w:eastAsia="en-GB"/>
              </w:rPr>
            </w:pPr>
            <w:r w:rsidRPr="0023049D">
              <w:rPr>
                <w:lang w:eastAsia="en-GB"/>
              </w:rPr>
              <w:t>Not applicable</w:t>
            </w:r>
          </w:p>
        </w:tc>
        <w:tc>
          <w:tcPr>
            <w:tcW w:w="1276" w:type="dxa"/>
            <w:shd w:val="clear" w:color="auto" w:fill="auto"/>
          </w:tcPr>
          <w:p w:rsidR="009E3385" w:rsidRPr="0023049D" w:rsidRDefault="005E691D" w:rsidP="0057715B">
            <w:pPr>
              <w:pStyle w:val="TableText"/>
              <w:rPr>
                <w:lang w:eastAsia="en-GB"/>
              </w:rPr>
            </w:pPr>
            <w:r w:rsidRPr="0023049D">
              <w:rPr>
                <w:lang w:eastAsia="en-GB"/>
              </w:rPr>
              <w:t>Unnecessary</w:t>
            </w:r>
          </w:p>
        </w:tc>
        <w:tc>
          <w:tcPr>
            <w:tcW w:w="1276" w:type="dxa"/>
            <w:shd w:val="clear" w:color="auto" w:fill="auto"/>
          </w:tcPr>
          <w:p w:rsidR="009E3385" w:rsidRPr="0023049D" w:rsidRDefault="005E691D" w:rsidP="0057715B">
            <w:pPr>
              <w:pStyle w:val="TableText"/>
              <w:rPr>
                <w:lang w:eastAsia="en-GB"/>
              </w:rPr>
            </w:pPr>
            <w:r w:rsidRPr="0023049D">
              <w:rPr>
                <w:lang w:eastAsia="en-GB"/>
              </w:rPr>
              <w:t>Recommended</w:t>
            </w:r>
          </w:p>
        </w:tc>
        <w:tc>
          <w:tcPr>
            <w:tcW w:w="1135" w:type="dxa"/>
            <w:shd w:val="clear" w:color="auto" w:fill="auto"/>
          </w:tcPr>
          <w:p w:rsidR="009E3385" w:rsidRPr="0023049D" w:rsidRDefault="005E691D" w:rsidP="0057715B">
            <w:pPr>
              <w:pStyle w:val="TableText"/>
              <w:rPr>
                <w:lang w:eastAsia="en-GB"/>
              </w:rPr>
            </w:pPr>
            <w:r w:rsidRPr="0023049D">
              <w:rPr>
                <w:lang w:eastAsia="en-GB"/>
              </w:rPr>
              <w:t>Acceptable</w:t>
            </w:r>
          </w:p>
        </w:tc>
      </w:tr>
      <w:tr w:rsidR="009E3385" w:rsidRPr="0023049D" w:rsidTr="00D81522">
        <w:trPr>
          <w:cantSplit/>
        </w:trPr>
        <w:tc>
          <w:tcPr>
            <w:tcW w:w="2410" w:type="dxa"/>
            <w:shd w:val="clear" w:color="auto" w:fill="auto"/>
          </w:tcPr>
          <w:p w:rsidR="009E3385" w:rsidRPr="0023049D" w:rsidRDefault="009E3385" w:rsidP="0057715B">
            <w:pPr>
              <w:pStyle w:val="TableText"/>
            </w:pPr>
            <w:r w:rsidRPr="0023049D">
              <w:t>Large refrigerator or freezer</w:t>
            </w:r>
            <w:r w:rsidR="000327BD">
              <w:br/>
            </w:r>
            <w:r w:rsidRPr="0023049D">
              <w:t>(more than 300 litres)</w:t>
            </w:r>
          </w:p>
        </w:tc>
        <w:tc>
          <w:tcPr>
            <w:tcW w:w="992" w:type="dxa"/>
            <w:shd w:val="clear" w:color="auto" w:fill="auto"/>
          </w:tcPr>
          <w:p w:rsidR="009E3385" w:rsidRPr="0023049D" w:rsidRDefault="009E3385" w:rsidP="0057715B">
            <w:pPr>
              <w:pStyle w:val="TableText"/>
              <w:jc w:val="right"/>
              <w:rPr>
                <w:lang w:eastAsia="en-GB"/>
              </w:rPr>
            </w:pPr>
            <w:r w:rsidRPr="0023049D">
              <w:rPr>
                <w:lang w:eastAsia="en-GB"/>
              </w:rPr>
              <w:t>0.15</w:t>
            </w:r>
          </w:p>
        </w:tc>
        <w:tc>
          <w:tcPr>
            <w:tcW w:w="1134" w:type="dxa"/>
            <w:shd w:val="clear" w:color="auto" w:fill="auto"/>
          </w:tcPr>
          <w:p w:rsidR="009E3385" w:rsidRPr="0023049D" w:rsidRDefault="009E3385" w:rsidP="0057715B">
            <w:pPr>
              <w:pStyle w:val="TableText"/>
              <w:jc w:val="right"/>
              <w:rPr>
                <w:lang w:eastAsia="en-GB"/>
              </w:rPr>
            </w:pPr>
            <w:r w:rsidRPr="0023049D">
              <w:rPr>
                <w:lang w:eastAsia="en-GB"/>
              </w:rPr>
              <w:t>3%</w:t>
            </w:r>
          </w:p>
        </w:tc>
        <w:tc>
          <w:tcPr>
            <w:tcW w:w="1133" w:type="dxa"/>
            <w:shd w:val="clear" w:color="auto" w:fill="auto"/>
          </w:tcPr>
          <w:p w:rsidR="009E3385" w:rsidRPr="0023049D" w:rsidRDefault="005E691D" w:rsidP="0057715B">
            <w:pPr>
              <w:pStyle w:val="TableText"/>
              <w:rPr>
                <w:lang w:eastAsia="en-GB"/>
              </w:rPr>
            </w:pPr>
            <w:r w:rsidRPr="0023049D">
              <w:rPr>
                <w:lang w:eastAsia="en-GB"/>
              </w:rPr>
              <w:t>Not applicable</w:t>
            </w:r>
          </w:p>
        </w:tc>
        <w:tc>
          <w:tcPr>
            <w:tcW w:w="1276" w:type="dxa"/>
            <w:shd w:val="clear" w:color="auto" w:fill="auto"/>
          </w:tcPr>
          <w:p w:rsidR="009E3385" w:rsidRPr="0023049D" w:rsidRDefault="005E691D" w:rsidP="0057715B">
            <w:pPr>
              <w:pStyle w:val="TableText"/>
              <w:rPr>
                <w:lang w:eastAsia="en-GB"/>
              </w:rPr>
            </w:pPr>
            <w:r w:rsidRPr="0023049D">
              <w:rPr>
                <w:lang w:eastAsia="en-GB"/>
              </w:rPr>
              <w:t>U</w:t>
            </w:r>
            <w:r w:rsidR="009E3385" w:rsidRPr="0023049D">
              <w:rPr>
                <w:lang w:eastAsia="en-GB"/>
              </w:rPr>
              <w:t>nnecessary</w:t>
            </w:r>
          </w:p>
        </w:tc>
        <w:tc>
          <w:tcPr>
            <w:tcW w:w="1276" w:type="dxa"/>
            <w:shd w:val="clear" w:color="auto" w:fill="auto"/>
          </w:tcPr>
          <w:p w:rsidR="009E3385" w:rsidRPr="0023049D" w:rsidRDefault="005E691D" w:rsidP="0057715B">
            <w:pPr>
              <w:pStyle w:val="TableText"/>
              <w:rPr>
                <w:lang w:eastAsia="en-GB"/>
              </w:rPr>
            </w:pPr>
            <w:r w:rsidRPr="0023049D">
              <w:rPr>
                <w:lang w:eastAsia="en-GB"/>
              </w:rPr>
              <w:t>Recommended</w:t>
            </w:r>
          </w:p>
        </w:tc>
        <w:tc>
          <w:tcPr>
            <w:tcW w:w="1135" w:type="dxa"/>
            <w:shd w:val="clear" w:color="auto" w:fill="auto"/>
          </w:tcPr>
          <w:p w:rsidR="009E3385" w:rsidRPr="0023049D" w:rsidRDefault="005E691D" w:rsidP="0057715B">
            <w:pPr>
              <w:pStyle w:val="TableText"/>
              <w:rPr>
                <w:lang w:eastAsia="en-GB"/>
              </w:rPr>
            </w:pPr>
            <w:r w:rsidRPr="0023049D">
              <w:rPr>
                <w:lang w:eastAsia="en-GB"/>
              </w:rPr>
              <w:t>Acceptable</w:t>
            </w:r>
          </w:p>
        </w:tc>
      </w:tr>
      <w:tr w:rsidR="009E3385" w:rsidRPr="0023049D" w:rsidTr="00D81522">
        <w:trPr>
          <w:cantSplit/>
        </w:trPr>
        <w:tc>
          <w:tcPr>
            <w:tcW w:w="2410" w:type="dxa"/>
            <w:shd w:val="clear" w:color="auto" w:fill="auto"/>
          </w:tcPr>
          <w:p w:rsidR="009E3385" w:rsidRPr="0023049D" w:rsidRDefault="009E3385" w:rsidP="0057715B">
            <w:pPr>
              <w:pStyle w:val="TableText"/>
            </w:pPr>
            <w:r w:rsidRPr="0023049D">
              <w:t>Small commercial stand-alone chiller</w:t>
            </w:r>
            <w:r w:rsidR="000327BD">
              <w:t xml:space="preserve"> </w:t>
            </w:r>
            <w:r w:rsidRPr="0023049D">
              <w:t>(up to 300 litres)</w:t>
            </w:r>
          </w:p>
        </w:tc>
        <w:tc>
          <w:tcPr>
            <w:tcW w:w="992" w:type="dxa"/>
            <w:shd w:val="clear" w:color="auto" w:fill="auto"/>
          </w:tcPr>
          <w:p w:rsidR="009E3385" w:rsidRPr="0023049D" w:rsidRDefault="009E3385" w:rsidP="0057715B">
            <w:pPr>
              <w:pStyle w:val="TableText"/>
              <w:jc w:val="right"/>
              <w:rPr>
                <w:lang w:eastAsia="en-GB"/>
              </w:rPr>
            </w:pPr>
            <w:r w:rsidRPr="0023049D">
              <w:rPr>
                <w:lang w:eastAsia="en-GB"/>
              </w:rPr>
              <w:t>0.25</w:t>
            </w:r>
          </w:p>
        </w:tc>
        <w:tc>
          <w:tcPr>
            <w:tcW w:w="1134" w:type="dxa"/>
            <w:shd w:val="clear" w:color="auto" w:fill="auto"/>
          </w:tcPr>
          <w:p w:rsidR="009E3385" w:rsidRPr="0023049D" w:rsidRDefault="009E3385" w:rsidP="0057715B">
            <w:pPr>
              <w:pStyle w:val="TableText"/>
              <w:jc w:val="right"/>
              <w:rPr>
                <w:lang w:eastAsia="en-GB"/>
              </w:rPr>
            </w:pPr>
            <w:r w:rsidRPr="0023049D">
              <w:rPr>
                <w:lang w:eastAsia="en-GB"/>
              </w:rPr>
              <w:t>8%</w:t>
            </w:r>
          </w:p>
        </w:tc>
        <w:tc>
          <w:tcPr>
            <w:tcW w:w="1133" w:type="dxa"/>
            <w:shd w:val="clear" w:color="auto" w:fill="auto"/>
          </w:tcPr>
          <w:p w:rsidR="009E3385" w:rsidRPr="0023049D" w:rsidRDefault="005E691D" w:rsidP="0057715B">
            <w:pPr>
              <w:pStyle w:val="TableText"/>
              <w:rPr>
                <w:lang w:eastAsia="en-GB"/>
              </w:rPr>
            </w:pPr>
            <w:r w:rsidRPr="0023049D">
              <w:rPr>
                <w:lang w:eastAsia="en-GB"/>
              </w:rPr>
              <w:t>Not applicable</w:t>
            </w:r>
          </w:p>
        </w:tc>
        <w:tc>
          <w:tcPr>
            <w:tcW w:w="1276" w:type="dxa"/>
            <w:shd w:val="clear" w:color="auto" w:fill="auto"/>
          </w:tcPr>
          <w:p w:rsidR="009E3385" w:rsidRPr="0023049D" w:rsidRDefault="005E691D" w:rsidP="0057715B">
            <w:pPr>
              <w:pStyle w:val="TableText"/>
              <w:rPr>
                <w:lang w:eastAsia="en-GB"/>
              </w:rPr>
            </w:pPr>
            <w:r w:rsidRPr="0023049D">
              <w:rPr>
                <w:lang w:eastAsia="en-GB"/>
              </w:rPr>
              <w:t>Recommended</w:t>
            </w:r>
          </w:p>
        </w:tc>
        <w:tc>
          <w:tcPr>
            <w:tcW w:w="1276" w:type="dxa"/>
            <w:shd w:val="clear" w:color="auto" w:fill="auto"/>
          </w:tcPr>
          <w:p w:rsidR="009E3385" w:rsidRPr="0023049D" w:rsidRDefault="005E691D" w:rsidP="0057715B">
            <w:pPr>
              <w:pStyle w:val="TableText"/>
              <w:rPr>
                <w:lang w:eastAsia="en-GB"/>
              </w:rPr>
            </w:pPr>
            <w:r w:rsidRPr="0023049D">
              <w:rPr>
                <w:lang w:eastAsia="en-GB"/>
              </w:rPr>
              <w:t>Acceptable</w:t>
            </w:r>
          </w:p>
        </w:tc>
        <w:tc>
          <w:tcPr>
            <w:tcW w:w="1135" w:type="dxa"/>
            <w:shd w:val="clear" w:color="auto" w:fill="auto"/>
          </w:tcPr>
          <w:p w:rsidR="009E3385" w:rsidRPr="0023049D" w:rsidRDefault="005E691D" w:rsidP="0057715B">
            <w:pPr>
              <w:pStyle w:val="TableText"/>
              <w:rPr>
                <w:lang w:eastAsia="en-GB"/>
              </w:rPr>
            </w:pPr>
            <w:r w:rsidRPr="0023049D">
              <w:rPr>
                <w:lang w:eastAsia="en-GB"/>
              </w:rPr>
              <w:t>Screening method only</w:t>
            </w:r>
          </w:p>
        </w:tc>
      </w:tr>
      <w:tr w:rsidR="009E3385" w:rsidRPr="0023049D" w:rsidTr="00D81522">
        <w:trPr>
          <w:cantSplit/>
        </w:trPr>
        <w:tc>
          <w:tcPr>
            <w:tcW w:w="2410" w:type="dxa"/>
            <w:shd w:val="clear" w:color="auto" w:fill="auto"/>
          </w:tcPr>
          <w:p w:rsidR="009E3385" w:rsidRPr="0023049D" w:rsidRDefault="009E3385" w:rsidP="0057715B">
            <w:pPr>
              <w:pStyle w:val="TableText"/>
            </w:pPr>
            <w:r w:rsidRPr="0023049D">
              <w:t>Medium commercial stand-alone chiller (up to 500 litres)</w:t>
            </w:r>
          </w:p>
        </w:tc>
        <w:tc>
          <w:tcPr>
            <w:tcW w:w="992" w:type="dxa"/>
            <w:shd w:val="clear" w:color="auto" w:fill="auto"/>
          </w:tcPr>
          <w:p w:rsidR="009E3385" w:rsidRPr="0023049D" w:rsidRDefault="009E3385" w:rsidP="0057715B">
            <w:pPr>
              <w:pStyle w:val="TableText"/>
              <w:jc w:val="right"/>
              <w:rPr>
                <w:lang w:eastAsia="en-GB"/>
              </w:rPr>
            </w:pPr>
            <w:r w:rsidRPr="0023049D">
              <w:rPr>
                <w:lang w:eastAsia="en-GB"/>
              </w:rPr>
              <w:t>0.45</w:t>
            </w:r>
          </w:p>
        </w:tc>
        <w:tc>
          <w:tcPr>
            <w:tcW w:w="1134" w:type="dxa"/>
            <w:shd w:val="clear" w:color="auto" w:fill="auto"/>
          </w:tcPr>
          <w:p w:rsidR="009E3385" w:rsidRPr="0023049D" w:rsidRDefault="009E3385" w:rsidP="0057715B">
            <w:pPr>
              <w:pStyle w:val="TableText"/>
              <w:jc w:val="right"/>
              <w:rPr>
                <w:lang w:eastAsia="en-GB"/>
              </w:rPr>
            </w:pPr>
            <w:r w:rsidRPr="0023049D">
              <w:rPr>
                <w:lang w:eastAsia="en-GB"/>
              </w:rPr>
              <w:t>8%</w:t>
            </w:r>
          </w:p>
        </w:tc>
        <w:tc>
          <w:tcPr>
            <w:tcW w:w="1133" w:type="dxa"/>
            <w:shd w:val="clear" w:color="auto" w:fill="auto"/>
          </w:tcPr>
          <w:p w:rsidR="009E3385" w:rsidRPr="0023049D" w:rsidRDefault="005E691D" w:rsidP="0057715B">
            <w:pPr>
              <w:pStyle w:val="TableText"/>
              <w:rPr>
                <w:lang w:eastAsia="en-GB"/>
              </w:rPr>
            </w:pPr>
            <w:r w:rsidRPr="0023049D">
              <w:rPr>
                <w:lang w:eastAsia="en-GB"/>
              </w:rPr>
              <w:t>Not applicable</w:t>
            </w:r>
          </w:p>
        </w:tc>
        <w:tc>
          <w:tcPr>
            <w:tcW w:w="1276" w:type="dxa"/>
            <w:shd w:val="clear" w:color="auto" w:fill="auto"/>
          </w:tcPr>
          <w:p w:rsidR="009E3385" w:rsidRPr="0023049D" w:rsidRDefault="005E691D" w:rsidP="0057715B">
            <w:pPr>
              <w:pStyle w:val="TableText"/>
              <w:rPr>
                <w:lang w:eastAsia="en-GB"/>
              </w:rPr>
            </w:pPr>
            <w:r w:rsidRPr="0023049D">
              <w:rPr>
                <w:lang w:eastAsia="en-GB"/>
              </w:rPr>
              <w:t>Recommended</w:t>
            </w:r>
          </w:p>
        </w:tc>
        <w:tc>
          <w:tcPr>
            <w:tcW w:w="1276" w:type="dxa"/>
            <w:shd w:val="clear" w:color="auto" w:fill="auto"/>
          </w:tcPr>
          <w:p w:rsidR="009E3385" w:rsidRPr="0023049D" w:rsidRDefault="005E691D" w:rsidP="0057715B">
            <w:pPr>
              <w:pStyle w:val="TableText"/>
              <w:rPr>
                <w:lang w:eastAsia="en-GB"/>
              </w:rPr>
            </w:pPr>
            <w:r w:rsidRPr="0023049D">
              <w:rPr>
                <w:lang w:eastAsia="en-GB"/>
              </w:rPr>
              <w:t>Acce</w:t>
            </w:r>
            <w:r w:rsidR="009E3385" w:rsidRPr="0023049D">
              <w:rPr>
                <w:lang w:eastAsia="en-GB"/>
              </w:rPr>
              <w:t>ptable</w:t>
            </w:r>
          </w:p>
        </w:tc>
        <w:tc>
          <w:tcPr>
            <w:tcW w:w="1135" w:type="dxa"/>
            <w:shd w:val="clear" w:color="auto" w:fill="auto"/>
          </w:tcPr>
          <w:p w:rsidR="009E3385" w:rsidRPr="0023049D" w:rsidRDefault="005E691D" w:rsidP="0057715B">
            <w:pPr>
              <w:pStyle w:val="TableText"/>
              <w:rPr>
                <w:lang w:eastAsia="en-GB"/>
              </w:rPr>
            </w:pPr>
            <w:r w:rsidRPr="0023049D">
              <w:rPr>
                <w:lang w:eastAsia="en-GB"/>
              </w:rPr>
              <w:t>Screening method only</w:t>
            </w:r>
          </w:p>
        </w:tc>
      </w:tr>
      <w:tr w:rsidR="009E3385" w:rsidRPr="0023049D" w:rsidTr="00D81522">
        <w:trPr>
          <w:cantSplit/>
        </w:trPr>
        <w:tc>
          <w:tcPr>
            <w:tcW w:w="2410" w:type="dxa"/>
            <w:shd w:val="clear" w:color="auto" w:fill="auto"/>
          </w:tcPr>
          <w:p w:rsidR="009E3385" w:rsidRPr="0023049D" w:rsidRDefault="009E3385" w:rsidP="0057715B">
            <w:pPr>
              <w:pStyle w:val="TableText"/>
            </w:pPr>
            <w:r w:rsidRPr="0023049D">
              <w:t>Large commercial stand-alone chiller</w:t>
            </w:r>
            <w:r w:rsidR="000327BD">
              <w:t xml:space="preserve"> </w:t>
            </w:r>
            <w:r w:rsidRPr="0023049D">
              <w:t>(more than 500 litres)</w:t>
            </w:r>
          </w:p>
        </w:tc>
        <w:tc>
          <w:tcPr>
            <w:tcW w:w="992" w:type="dxa"/>
            <w:shd w:val="clear" w:color="auto" w:fill="auto"/>
          </w:tcPr>
          <w:p w:rsidR="009E3385" w:rsidRPr="0023049D" w:rsidRDefault="009E3385" w:rsidP="0057715B">
            <w:pPr>
              <w:pStyle w:val="TableText"/>
              <w:jc w:val="right"/>
              <w:rPr>
                <w:lang w:eastAsia="en-GB"/>
              </w:rPr>
            </w:pPr>
            <w:r w:rsidRPr="0023049D">
              <w:rPr>
                <w:lang w:eastAsia="en-GB"/>
              </w:rPr>
              <w:t>0.65</w:t>
            </w:r>
          </w:p>
        </w:tc>
        <w:tc>
          <w:tcPr>
            <w:tcW w:w="1134" w:type="dxa"/>
            <w:shd w:val="clear" w:color="auto" w:fill="auto"/>
          </w:tcPr>
          <w:p w:rsidR="009E3385" w:rsidRPr="0023049D" w:rsidRDefault="009E3385" w:rsidP="0057715B">
            <w:pPr>
              <w:pStyle w:val="TableText"/>
              <w:jc w:val="right"/>
              <w:rPr>
                <w:lang w:eastAsia="en-GB"/>
              </w:rPr>
            </w:pPr>
            <w:r w:rsidRPr="0023049D">
              <w:rPr>
                <w:lang w:eastAsia="en-GB"/>
              </w:rPr>
              <w:t>8%</w:t>
            </w:r>
          </w:p>
        </w:tc>
        <w:tc>
          <w:tcPr>
            <w:tcW w:w="1133" w:type="dxa"/>
            <w:shd w:val="clear" w:color="auto" w:fill="auto"/>
          </w:tcPr>
          <w:p w:rsidR="009E3385" w:rsidRPr="0023049D" w:rsidRDefault="005E691D" w:rsidP="0057715B">
            <w:pPr>
              <w:pStyle w:val="TableText"/>
              <w:rPr>
                <w:lang w:eastAsia="en-GB"/>
              </w:rPr>
            </w:pPr>
            <w:r w:rsidRPr="0023049D">
              <w:rPr>
                <w:lang w:eastAsia="en-GB"/>
              </w:rPr>
              <w:t>Not applicable</w:t>
            </w:r>
          </w:p>
        </w:tc>
        <w:tc>
          <w:tcPr>
            <w:tcW w:w="1276" w:type="dxa"/>
            <w:shd w:val="clear" w:color="auto" w:fill="auto"/>
          </w:tcPr>
          <w:p w:rsidR="009E3385" w:rsidRPr="0023049D" w:rsidRDefault="005E691D" w:rsidP="0057715B">
            <w:pPr>
              <w:pStyle w:val="TableText"/>
              <w:rPr>
                <w:lang w:eastAsia="en-GB"/>
              </w:rPr>
            </w:pPr>
            <w:r w:rsidRPr="0023049D">
              <w:rPr>
                <w:lang w:eastAsia="en-GB"/>
              </w:rPr>
              <w:t>Recommended</w:t>
            </w:r>
          </w:p>
        </w:tc>
        <w:tc>
          <w:tcPr>
            <w:tcW w:w="1276" w:type="dxa"/>
            <w:shd w:val="clear" w:color="auto" w:fill="auto"/>
          </w:tcPr>
          <w:p w:rsidR="009E3385" w:rsidRPr="0023049D" w:rsidRDefault="005E691D" w:rsidP="0057715B">
            <w:pPr>
              <w:pStyle w:val="TableText"/>
              <w:rPr>
                <w:lang w:eastAsia="en-GB"/>
              </w:rPr>
            </w:pPr>
            <w:r w:rsidRPr="0023049D">
              <w:rPr>
                <w:lang w:eastAsia="en-GB"/>
              </w:rPr>
              <w:t>Acceptable</w:t>
            </w:r>
          </w:p>
        </w:tc>
        <w:tc>
          <w:tcPr>
            <w:tcW w:w="1135" w:type="dxa"/>
            <w:shd w:val="clear" w:color="auto" w:fill="auto"/>
          </w:tcPr>
          <w:p w:rsidR="009E3385" w:rsidRPr="0023049D" w:rsidRDefault="005E691D" w:rsidP="0057715B">
            <w:pPr>
              <w:pStyle w:val="TableText"/>
              <w:rPr>
                <w:lang w:eastAsia="en-GB"/>
              </w:rPr>
            </w:pPr>
            <w:r w:rsidRPr="0023049D">
              <w:rPr>
                <w:lang w:eastAsia="en-GB"/>
              </w:rPr>
              <w:t>Screening method only</w:t>
            </w:r>
          </w:p>
        </w:tc>
      </w:tr>
      <w:tr w:rsidR="009E3385" w:rsidRPr="0023049D" w:rsidTr="00D81522">
        <w:trPr>
          <w:cantSplit/>
        </w:trPr>
        <w:tc>
          <w:tcPr>
            <w:tcW w:w="2410" w:type="dxa"/>
            <w:shd w:val="clear" w:color="auto" w:fill="auto"/>
          </w:tcPr>
          <w:p w:rsidR="009E3385" w:rsidRPr="0023049D" w:rsidRDefault="009E3385" w:rsidP="0057715B">
            <w:pPr>
              <w:pStyle w:val="TableText"/>
            </w:pPr>
            <w:r w:rsidRPr="0023049D">
              <w:t>Small commercial stand-alone freezer</w:t>
            </w:r>
            <w:r w:rsidR="000327BD">
              <w:t xml:space="preserve"> </w:t>
            </w:r>
            <w:r w:rsidRPr="0023049D">
              <w:t>(up to 300 litres)</w:t>
            </w:r>
          </w:p>
        </w:tc>
        <w:tc>
          <w:tcPr>
            <w:tcW w:w="992" w:type="dxa"/>
            <w:shd w:val="clear" w:color="auto" w:fill="auto"/>
          </w:tcPr>
          <w:p w:rsidR="009E3385" w:rsidRPr="0023049D" w:rsidRDefault="009E3385" w:rsidP="0057715B">
            <w:pPr>
              <w:pStyle w:val="TableText"/>
              <w:jc w:val="right"/>
              <w:rPr>
                <w:lang w:eastAsia="en-GB"/>
              </w:rPr>
            </w:pPr>
            <w:r w:rsidRPr="0023049D">
              <w:rPr>
                <w:lang w:eastAsia="en-GB"/>
              </w:rPr>
              <w:t>0.2</w:t>
            </w:r>
          </w:p>
        </w:tc>
        <w:tc>
          <w:tcPr>
            <w:tcW w:w="1134" w:type="dxa"/>
            <w:shd w:val="clear" w:color="auto" w:fill="auto"/>
          </w:tcPr>
          <w:p w:rsidR="009E3385" w:rsidRPr="0023049D" w:rsidRDefault="009E3385" w:rsidP="0057715B">
            <w:pPr>
              <w:pStyle w:val="TableText"/>
              <w:jc w:val="right"/>
              <w:rPr>
                <w:lang w:eastAsia="en-GB"/>
              </w:rPr>
            </w:pPr>
            <w:r w:rsidRPr="0023049D">
              <w:rPr>
                <w:lang w:eastAsia="en-GB"/>
              </w:rPr>
              <w:t>8%</w:t>
            </w:r>
          </w:p>
        </w:tc>
        <w:tc>
          <w:tcPr>
            <w:tcW w:w="1133" w:type="dxa"/>
            <w:shd w:val="clear" w:color="auto" w:fill="auto"/>
          </w:tcPr>
          <w:p w:rsidR="009E3385" w:rsidRPr="0023049D" w:rsidRDefault="005E691D" w:rsidP="0057715B">
            <w:pPr>
              <w:pStyle w:val="TableText"/>
              <w:rPr>
                <w:lang w:eastAsia="en-GB"/>
              </w:rPr>
            </w:pPr>
            <w:r w:rsidRPr="0023049D">
              <w:rPr>
                <w:lang w:eastAsia="en-GB"/>
              </w:rPr>
              <w:t>Not applicable</w:t>
            </w:r>
          </w:p>
        </w:tc>
        <w:tc>
          <w:tcPr>
            <w:tcW w:w="1276" w:type="dxa"/>
            <w:shd w:val="clear" w:color="auto" w:fill="auto"/>
          </w:tcPr>
          <w:p w:rsidR="009E3385" w:rsidRPr="0023049D" w:rsidRDefault="005E691D" w:rsidP="0057715B">
            <w:pPr>
              <w:pStyle w:val="TableText"/>
              <w:rPr>
                <w:lang w:eastAsia="en-GB"/>
              </w:rPr>
            </w:pPr>
            <w:r w:rsidRPr="0023049D">
              <w:rPr>
                <w:lang w:eastAsia="en-GB"/>
              </w:rPr>
              <w:t>Recommended</w:t>
            </w:r>
          </w:p>
        </w:tc>
        <w:tc>
          <w:tcPr>
            <w:tcW w:w="1276" w:type="dxa"/>
            <w:shd w:val="clear" w:color="auto" w:fill="auto"/>
          </w:tcPr>
          <w:p w:rsidR="009E3385" w:rsidRPr="0023049D" w:rsidRDefault="005E691D" w:rsidP="0057715B">
            <w:pPr>
              <w:pStyle w:val="TableText"/>
              <w:rPr>
                <w:lang w:eastAsia="en-GB"/>
              </w:rPr>
            </w:pPr>
            <w:r w:rsidRPr="0023049D">
              <w:rPr>
                <w:lang w:eastAsia="en-GB"/>
              </w:rPr>
              <w:t>Accepta</w:t>
            </w:r>
            <w:r w:rsidR="009E3385" w:rsidRPr="0023049D">
              <w:rPr>
                <w:lang w:eastAsia="en-GB"/>
              </w:rPr>
              <w:t>ble</w:t>
            </w:r>
          </w:p>
        </w:tc>
        <w:tc>
          <w:tcPr>
            <w:tcW w:w="1135" w:type="dxa"/>
            <w:shd w:val="clear" w:color="auto" w:fill="auto"/>
          </w:tcPr>
          <w:p w:rsidR="009E3385" w:rsidRPr="0023049D" w:rsidRDefault="005E691D" w:rsidP="0057715B">
            <w:pPr>
              <w:pStyle w:val="TableText"/>
              <w:rPr>
                <w:lang w:eastAsia="en-GB"/>
              </w:rPr>
            </w:pPr>
            <w:r w:rsidRPr="0023049D">
              <w:rPr>
                <w:lang w:eastAsia="en-GB"/>
              </w:rPr>
              <w:t>Screening method only</w:t>
            </w:r>
          </w:p>
        </w:tc>
      </w:tr>
      <w:tr w:rsidR="009E3385" w:rsidRPr="0023049D" w:rsidTr="00D81522">
        <w:trPr>
          <w:cantSplit/>
        </w:trPr>
        <w:tc>
          <w:tcPr>
            <w:tcW w:w="2410" w:type="dxa"/>
            <w:shd w:val="clear" w:color="auto" w:fill="auto"/>
          </w:tcPr>
          <w:p w:rsidR="009E3385" w:rsidRPr="0023049D" w:rsidRDefault="009E3385" w:rsidP="0057715B">
            <w:pPr>
              <w:pStyle w:val="TableText"/>
            </w:pPr>
            <w:r w:rsidRPr="0023049D">
              <w:t>Medium commercial stand-alone freezer (up to 500 litres)</w:t>
            </w:r>
          </w:p>
        </w:tc>
        <w:tc>
          <w:tcPr>
            <w:tcW w:w="992" w:type="dxa"/>
            <w:shd w:val="clear" w:color="auto" w:fill="auto"/>
          </w:tcPr>
          <w:p w:rsidR="009E3385" w:rsidRPr="0023049D" w:rsidRDefault="009E3385" w:rsidP="0057715B">
            <w:pPr>
              <w:pStyle w:val="TableText"/>
              <w:jc w:val="right"/>
              <w:rPr>
                <w:lang w:eastAsia="en-GB"/>
              </w:rPr>
            </w:pPr>
            <w:r w:rsidRPr="0023049D">
              <w:rPr>
                <w:lang w:eastAsia="en-GB"/>
              </w:rPr>
              <w:t>0.3</w:t>
            </w:r>
          </w:p>
        </w:tc>
        <w:tc>
          <w:tcPr>
            <w:tcW w:w="1134" w:type="dxa"/>
            <w:shd w:val="clear" w:color="auto" w:fill="auto"/>
          </w:tcPr>
          <w:p w:rsidR="009E3385" w:rsidRPr="0023049D" w:rsidRDefault="009E3385" w:rsidP="0057715B">
            <w:pPr>
              <w:pStyle w:val="TableText"/>
              <w:jc w:val="right"/>
              <w:rPr>
                <w:lang w:eastAsia="en-GB"/>
              </w:rPr>
            </w:pPr>
            <w:r w:rsidRPr="0023049D">
              <w:rPr>
                <w:lang w:eastAsia="en-GB"/>
              </w:rPr>
              <w:t>8%</w:t>
            </w:r>
          </w:p>
        </w:tc>
        <w:tc>
          <w:tcPr>
            <w:tcW w:w="1133" w:type="dxa"/>
            <w:shd w:val="clear" w:color="auto" w:fill="auto"/>
          </w:tcPr>
          <w:p w:rsidR="009E3385" w:rsidRPr="0023049D" w:rsidRDefault="005E691D" w:rsidP="0057715B">
            <w:pPr>
              <w:pStyle w:val="TableText"/>
              <w:rPr>
                <w:lang w:eastAsia="en-GB"/>
              </w:rPr>
            </w:pPr>
            <w:r w:rsidRPr="0023049D">
              <w:rPr>
                <w:lang w:eastAsia="en-GB"/>
              </w:rPr>
              <w:t>Not applicable</w:t>
            </w:r>
          </w:p>
        </w:tc>
        <w:tc>
          <w:tcPr>
            <w:tcW w:w="1276" w:type="dxa"/>
            <w:shd w:val="clear" w:color="auto" w:fill="auto"/>
          </w:tcPr>
          <w:p w:rsidR="009E3385" w:rsidRPr="0023049D" w:rsidRDefault="005E691D" w:rsidP="0057715B">
            <w:pPr>
              <w:pStyle w:val="TableText"/>
              <w:rPr>
                <w:lang w:eastAsia="en-GB"/>
              </w:rPr>
            </w:pPr>
            <w:r w:rsidRPr="0023049D">
              <w:rPr>
                <w:lang w:eastAsia="en-GB"/>
              </w:rPr>
              <w:t>Recommended</w:t>
            </w:r>
          </w:p>
        </w:tc>
        <w:tc>
          <w:tcPr>
            <w:tcW w:w="1276" w:type="dxa"/>
            <w:shd w:val="clear" w:color="auto" w:fill="auto"/>
          </w:tcPr>
          <w:p w:rsidR="009E3385" w:rsidRPr="0023049D" w:rsidRDefault="005E691D" w:rsidP="0057715B">
            <w:pPr>
              <w:pStyle w:val="TableText"/>
              <w:rPr>
                <w:lang w:eastAsia="en-GB"/>
              </w:rPr>
            </w:pPr>
            <w:r w:rsidRPr="0023049D">
              <w:rPr>
                <w:lang w:eastAsia="en-GB"/>
              </w:rPr>
              <w:t>Acceptable</w:t>
            </w:r>
          </w:p>
        </w:tc>
        <w:tc>
          <w:tcPr>
            <w:tcW w:w="1135" w:type="dxa"/>
            <w:shd w:val="clear" w:color="auto" w:fill="auto"/>
          </w:tcPr>
          <w:p w:rsidR="009E3385" w:rsidRPr="0023049D" w:rsidRDefault="005E691D" w:rsidP="0057715B">
            <w:pPr>
              <w:pStyle w:val="TableText"/>
              <w:rPr>
                <w:lang w:eastAsia="en-GB"/>
              </w:rPr>
            </w:pPr>
            <w:r w:rsidRPr="0023049D">
              <w:rPr>
                <w:lang w:eastAsia="en-GB"/>
              </w:rPr>
              <w:t>Screening method only</w:t>
            </w:r>
          </w:p>
        </w:tc>
      </w:tr>
      <w:tr w:rsidR="009E3385" w:rsidRPr="0023049D" w:rsidTr="00D81522">
        <w:trPr>
          <w:cantSplit/>
        </w:trPr>
        <w:tc>
          <w:tcPr>
            <w:tcW w:w="2410" w:type="dxa"/>
            <w:shd w:val="clear" w:color="auto" w:fill="auto"/>
          </w:tcPr>
          <w:p w:rsidR="009E3385" w:rsidRPr="0023049D" w:rsidRDefault="009E3385" w:rsidP="0057715B">
            <w:pPr>
              <w:pStyle w:val="TableText"/>
            </w:pPr>
            <w:r w:rsidRPr="0023049D">
              <w:t>Large commercial stand-alone freezer (more than 500 litres)</w:t>
            </w:r>
          </w:p>
        </w:tc>
        <w:tc>
          <w:tcPr>
            <w:tcW w:w="992" w:type="dxa"/>
            <w:shd w:val="clear" w:color="auto" w:fill="auto"/>
          </w:tcPr>
          <w:p w:rsidR="009E3385" w:rsidRPr="0023049D" w:rsidRDefault="009E3385" w:rsidP="0057715B">
            <w:pPr>
              <w:pStyle w:val="TableText"/>
              <w:jc w:val="right"/>
              <w:rPr>
                <w:lang w:eastAsia="en-GB"/>
              </w:rPr>
            </w:pPr>
            <w:r w:rsidRPr="0023049D">
              <w:rPr>
                <w:lang w:eastAsia="en-GB"/>
              </w:rPr>
              <w:t>0.45</w:t>
            </w:r>
          </w:p>
        </w:tc>
        <w:tc>
          <w:tcPr>
            <w:tcW w:w="1134" w:type="dxa"/>
            <w:shd w:val="clear" w:color="auto" w:fill="auto"/>
          </w:tcPr>
          <w:p w:rsidR="009E3385" w:rsidRPr="0023049D" w:rsidRDefault="009E3385" w:rsidP="0057715B">
            <w:pPr>
              <w:pStyle w:val="TableText"/>
              <w:jc w:val="right"/>
              <w:rPr>
                <w:lang w:eastAsia="en-GB"/>
              </w:rPr>
            </w:pPr>
            <w:r w:rsidRPr="0023049D">
              <w:rPr>
                <w:lang w:eastAsia="en-GB"/>
              </w:rPr>
              <w:t>8%</w:t>
            </w:r>
          </w:p>
        </w:tc>
        <w:tc>
          <w:tcPr>
            <w:tcW w:w="1133" w:type="dxa"/>
            <w:shd w:val="clear" w:color="auto" w:fill="auto"/>
          </w:tcPr>
          <w:p w:rsidR="009E3385" w:rsidRPr="0023049D" w:rsidRDefault="005E691D" w:rsidP="0057715B">
            <w:pPr>
              <w:pStyle w:val="TableText"/>
              <w:rPr>
                <w:lang w:eastAsia="en-GB"/>
              </w:rPr>
            </w:pPr>
            <w:r w:rsidRPr="0023049D">
              <w:rPr>
                <w:lang w:eastAsia="en-GB"/>
              </w:rPr>
              <w:t>Not applicable</w:t>
            </w:r>
          </w:p>
        </w:tc>
        <w:tc>
          <w:tcPr>
            <w:tcW w:w="1276" w:type="dxa"/>
            <w:shd w:val="clear" w:color="auto" w:fill="auto"/>
          </w:tcPr>
          <w:p w:rsidR="009E3385" w:rsidRPr="0023049D" w:rsidRDefault="005E691D" w:rsidP="0057715B">
            <w:pPr>
              <w:pStyle w:val="TableText"/>
              <w:rPr>
                <w:lang w:eastAsia="en-GB"/>
              </w:rPr>
            </w:pPr>
            <w:r w:rsidRPr="0023049D">
              <w:rPr>
                <w:lang w:eastAsia="en-GB"/>
              </w:rPr>
              <w:t>Recommended</w:t>
            </w:r>
          </w:p>
        </w:tc>
        <w:tc>
          <w:tcPr>
            <w:tcW w:w="1276" w:type="dxa"/>
            <w:shd w:val="clear" w:color="auto" w:fill="auto"/>
          </w:tcPr>
          <w:p w:rsidR="009E3385" w:rsidRPr="0023049D" w:rsidRDefault="005E691D" w:rsidP="0057715B">
            <w:pPr>
              <w:pStyle w:val="TableText"/>
              <w:rPr>
                <w:lang w:eastAsia="en-GB"/>
              </w:rPr>
            </w:pPr>
            <w:r w:rsidRPr="0023049D">
              <w:rPr>
                <w:lang w:eastAsia="en-GB"/>
              </w:rPr>
              <w:t>Acceptabl</w:t>
            </w:r>
            <w:r w:rsidR="009E3385" w:rsidRPr="0023049D">
              <w:rPr>
                <w:lang w:eastAsia="en-GB"/>
              </w:rPr>
              <w:t>e</w:t>
            </w:r>
          </w:p>
        </w:tc>
        <w:tc>
          <w:tcPr>
            <w:tcW w:w="1135" w:type="dxa"/>
            <w:shd w:val="clear" w:color="auto" w:fill="auto"/>
          </w:tcPr>
          <w:p w:rsidR="009E3385" w:rsidRPr="0023049D" w:rsidRDefault="005E691D" w:rsidP="0057715B">
            <w:pPr>
              <w:pStyle w:val="TableText"/>
              <w:rPr>
                <w:lang w:eastAsia="en-GB"/>
              </w:rPr>
            </w:pPr>
            <w:r w:rsidRPr="0023049D">
              <w:rPr>
                <w:lang w:eastAsia="en-GB"/>
              </w:rPr>
              <w:t>Screening method only</w:t>
            </w:r>
          </w:p>
        </w:tc>
      </w:tr>
      <w:tr w:rsidR="009E3385" w:rsidRPr="0023049D" w:rsidTr="00D81522">
        <w:trPr>
          <w:cantSplit/>
        </w:trPr>
        <w:tc>
          <w:tcPr>
            <w:tcW w:w="2410" w:type="dxa"/>
            <w:shd w:val="clear" w:color="auto" w:fill="auto"/>
          </w:tcPr>
          <w:p w:rsidR="009E3385" w:rsidRPr="0023049D" w:rsidRDefault="009E3385" w:rsidP="0057715B">
            <w:pPr>
              <w:pStyle w:val="TableText"/>
            </w:pPr>
            <w:r w:rsidRPr="0023049D">
              <w:t>Water coolers</w:t>
            </w:r>
          </w:p>
        </w:tc>
        <w:tc>
          <w:tcPr>
            <w:tcW w:w="992" w:type="dxa"/>
            <w:shd w:val="clear" w:color="auto" w:fill="auto"/>
          </w:tcPr>
          <w:p w:rsidR="009E3385" w:rsidRPr="0023049D" w:rsidRDefault="009E3385" w:rsidP="0057715B">
            <w:pPr>
              <w:pStyle w:val="TableText"/>
              <w:jc w:val="right"/>
              <w:rPr>
                <w:lang w:eastAsia="en-GB"/>
              </w:rPr>
            </w:pPr>
            <w:r w:rsidRPr="0023049D">
              <w:rPr>
                <w:lang w:eastAsia="en-GB"/>
              </w:rPr>
              <w:t>0.04</w:t>
            </w:r>
          </w:p>
        </w:tc>
        <w:tc>
          <w:tcPr>
            <w:tcW w:w="1134" w:type="dxa"/>
            <w:shd w:val="clear" w:color="auto" w:fill="auto"/>
          </w:tcPr>
          <w:p w:rsidR="009E3385" w:rsidRPr="0023049D" w:rsidRDefault="009E3385" w:rsidP="0057715B">
            <w:pPr>
              <w:pStyle w:val="TableText"/>
              <w:jc w:val="right"/>
              <w:rPr>
                <w:lang w:eastAsia="en-GB"/>
              </w:rPr>
            </w:pPr>
            <w:r w:rsidRPr="0023049D">
              <w:rPr>
                <w:lang w:eastAsia="en-GB"/>
              </w:rPr>
              <w:t>3%</w:t>
            </w:r>
          </w:p>
        </w:tc>
        <w:tc>
          <w:tcPr>
            <w:tcW w:w="1133" w:type="dxa"/>
            <w:shd w:val="clear" w:color="auto" w:fill="auto"/>
          </w:tcPr>
          <w:p w:rsidR="009E3385" w:rsidRPr="0023049D" w:rsidRDefault="005E691D" w:rsidP="0057715B">
            <w:pPr>
              <w:pStyle w:val="TableText"/>
              <w:rPr>
                <w:lang w:eastAsia="en-GB"/>
              </w:rPr>
            </w:pPr>
            <w:r w:rsidRPr="0023049D">
              <w:rPr>
                <w:lang w:eastAsia="en-GB"/>
              </w:rPr>
              <w:t>Not applicable</w:t>
            </w:r>
          </w:p>
        </w:tc>
        <w:tc>
          <w:tcPr>
            <w:tcW w:w="1276" w:type="dxa"/>
            <w:shd w:val="clear" w:color="auto" w:fill="auto"/>
          </w:tcPr>
          <w:p w:rsidR="009E3385" w:rsidRPr="0023049D" w:rsidRDefault="005E691D" w:rsidP="0057715B">
            <w:pPr>
              <w:pStyle w:val="TableText"/>
              <w:rPr>
                <w:lang w:eastAsia="en-GB"/>
              </w:rPr>
            </w:pPr>
            <w:r w:rsidRPr="0023049D">
              <w:rPr>
                <w:lang w:eastAsia="en-GB"/>
              </w:rPr>
              <w:t>Unnecessary</w:t>
            </w:r>
          </w:p>
        </w:tc>
        <w:tc>
          <w:tcPr>
            <w:tcW w:w="1276" w:type="dxa"/>
            <w:shd w:val="clear" w:color="auto" w:fill="auto"/>
          </w:tcPr>
          <w:p w:rsidR="009E3385" w:rsidRPr="0023049D" w:rsidRDefault="005E691D" w:rsidP="0057715B">
            <w:pPr>
              <w:pStyle w:val="TableText"/>
              <w:rPr>
                <w:lang w:eastAsia="en-GB"/>
              </w:rPr>
            </w:pPr>
            <w:r w:rsidRPr="0023049D">
              <w:rPr>
                <w:lang w:eastAsia="en-GB"/>
              </w:rPr>
              <w:t>Recommended</w:t>
            </w:r>
          </w:p>
        </w:tc>
        <w:tc>
          <w:tcPr>
            <w:tcW w:w="1135" w:type="dxa"/>
            <w:shd w:val="clear" w:color="auto" w:fill="auto"/>
          </w:tcPr>
          <w:p w:rsidR="009E3385" w:rsidRPr="0023049D" w:rsidRDefault="005E691D" w:rsidP="0057715B">
            <w:pPr>
              <w:pStyle w:val="TableText"/>
              <w:rPr>
                <w:lang w:eastAsia="en-GB"/>
              </w:rPr>
            </w:pPr>
            <w:r w:rsidRPr="0023049D">
              <w:rPr>
                <w:lang w:eastAsia="en-GB"/>
              </w:rPr>
              <w:t>Acceptable</w:t>
            </w:r>
          </w:p>
        </w:tc>
      </w:tr>
      <w:tr w:rsidR="009E3385" w:rsidRPr="0023049D" w:rsidTr="00D81522">
        <w:trPr>
          <w:cantSplit/>
        </w:trPr>
        <w:tc>
          <w:tcPr>
            <w:tcW w:w="2410" w:type="dxa"/>
            <w:shd w:val="clear" w:color="auto" w:fill="auto"/>
          </w:tcPr>
          <w:p w:rsidR="009E3385" w:rsidRPr="0023049D" w:rsidRDefault="009E3385" w:rsidP="0057715B">
            <w:pPr>
              <w:pStyle w:val="TableText"/>
            </w:pPr>
            <w:r w:rsidRPr="0023049D">
              <w:t>Dehumidifiers</w:t>
            </w:r>
          </w:p>
        </w:tc>
        <w:tc>
          <w:tcPr>
            <w:tcW w:w="992" w:type="dxa"/>
            <w:shd w:val="clear" w:color="auto" w:fill="auto"/>
          </w:tcPr>
          <w:p w:rsidR="009E3385" w:rsidRPr="0023049D" w:rsidRDefault="009E3385" w:rsidP="0057715B">
            <w:pPr>
              <w:pStyle w:val="TableText"/>
              <w:jc w:val="right"/>
              <w:rPr>
                <w:lang w:eastAsia="en-GB"/>
              </w:rPr>
            </w:pPr>
            <w:r w:rsidRPr="0023049D">
              <w:rPr>
                <w:lang w:eastAsia="en-GB"/>
              </w:rPr>
              <w:t>0.17</w:t>
            </w:r>
          </w:p>
        </w:tc>
        <w:tc>
          <w:tcPr>
            <w:tcW w:w="1134" w:type="dxa"/>
            <w:shd w:val="clear" w:color="auto" w:fill="auto"/>
          </w:tcPr>
          <w:p w:rsidR="009E3385" w:rsidRPr="0023049D" w:rsidRDefault="009E3385" w:rsidP="0057715B">
            <w:pPr>
              <w:pStyle w:val="TableText"/>
              <w:jc w:val="right"/>
              <w:rPr>
                <w:lang w:eastAsia="en-GB"/>
              </w:rPr>
            </w:pPr>
            <w:r w:rsidRPr="0023049D">
              <w:rPr>
                <w:lang w:eastAsia="en-GB"/>
              </w:rPr>
              <w:t>3%</w:t>
            </w:r>
          </w:p>
        </w:tc>
        <w:tc>
          <w:tcPr>
            <w:tcW w:w="1133" w:type="dxa"/>
            <w:shd w:val="clear" w:color="auto" w:fill="auto"/>
          </w:tcPr>
          <w:p w:rsidR="009E3385" w:rsidRPr="0023049D" w:rsidRDefault="005E691D" w:rsidP="0057715B">
            <w:pPr>
              <w:pStyle w:val="TableText"/>
              <w:rPr>
                <w:lang w:eastAsia="en-GB"/>
              </w:rPr>
            </w:pPr>
            <w:r w:rsidRPr="0023049D">
              <w:rPr>
                <w:lang w:eastAsia="en-GB"/>
              </w:rPr>
              <w:t>Not applicable</w:t>
            </w:r>
          </w:p>
        </w:tc>
        <w:tc>
          <w:tcPr>
            <w:tcW w:w="1276" w:type="dxa"/>
            <w:shd w:val="clear" w:color="auto" w:fill="auto"/>
          </w:tcPr>
          <w:p w:rsidR="009E3385" w:rsidRPr="0023049D" w:rsidRDefault="005E691D" w:rsidP="0057715B">
            <w:pPr>
              <w:pStyle w:val="TableText"/>
              <w:rPr>
                <w:lang w:eastAsia="en-GB"/>
              </w:rPr>
            </w:pPr>
            <w:r w:rsidRPr="0023049D">
              <w:rPr>
                <w:lang w:eastAsia="en-GB"/>
              </w:rPr>
              <w:t>Unnecessary</w:t>
            </w:r>
          </w:p>
        </w:tc>
        <w:tc>
          <w:tcPr>
            <w:tcW w:w="1276" w:type="dxa"/>
            <w:shd w:val="clear" w:color="auto" w:fill="auto"/>
          </w:tcPr>
          <w:p w:rsidR="009E3385" w:rsidRPr="0023049D" w:rsidRDefault="005E691D" w:rsidP="0057715B">
            <w:pPr>
              <w:pStyle w:val="TableText"/>
              <w:rPr>
                <w:lang w:eastAsia="en-GB"/>
              </w:rPr>
            </w:pPr>
            <w:r w:rsidRPr="0023049D">
              <w:rPr>
                <w:lang w:eastAsia="en-GB"/>
              </w:rPr>
              <w:t>Recommended</w:t>
            </w:r>
          </w:p>
        </w:tc>
        <w:tc>
          <w:tcPr>
            <w:tcW w:w="1135" w:type="dxa"/>
            <w:shd w:val="clear" w:color="auto" w:fill="auto"/>
          </w:tcPr>
          <w:p w:rsidR="009E3385" w:rsidRPr="0023049D" w:rsidRDefault="005E691D" w:rsidP="0057715B">
            <w:pPr>
              <w:pStyle w:val="TableText"/>
              <w:rPr>
                <w:lang w:eastAsia="en-GB"/>
              </w:rPr>
            </w:pPr>
            <w:r w:rsidRPr="0023049D">
              <w:rPr>
                <w:lang w:eastAsia="en-GB"/>
              </w:rPr>
              <w:t>Acceptable</w:t>
            </w:r>
          </w:p>
        </w:tc>
      </w:tr>
      <w:tr w:rsidR="009E3385" w:rsidRPr="0023049D" w:rsidTr="00D81522">
        <w:trPr>
          <w:cantSplit/>
        </w:trPr>
        <w:tc>
          <w:tcPr>
            <w:tcW w:w="2410" w:type="dxa"/>
            <w:shd w:val="clear" w:color="auto" w:fill="auto"/>
          </w:tcPr>
          <w:p w:rsidR="009E3385" w:rsidRPr="0023049D" w:rsidRDefault="009E3385" w:rsidP="0057715B">
            <w:pPr>
              <w:pStyle w:val="TableText"/>
            </w:pPr>
            <w:r w:rsidRPr="0023049D">
              <w:t>Small self-contained air conditioners (window mounted or through-the-wall)</w:t>
            </w:r>
          </w:p>
        </w:tc>
        <w:tc>
          <w:tcPr>
            <w:tcW w:w="992" w:type="dxa"/>
            <w:shd w:val="clear" w:color="auto" w:fill="auto"/>
          </w:tcPr>
          <w:p w:rsidR="009E3385" w:rsidRPr="0023049D" w:rsidRDefault="009E3385" w:rsidP="0057715B">
            <w:pPr>
              <w:pStyle w:val="TableText"/>
              <w:jc w:val="right"/>
              <w:rPr>
                <w:lang w:eastAsia="en-GB"/>
              </w:rPr>
            </w:pPr>
            <w:r w:rsidRPr="0023049D">
              <w:rPr>
                <w:lang w:eastAsia="en-GB"/>
              </w:rPr>
              <w:t>0.2kg per kW cooling capacity</w:t>
            </w:r>
          </w:p>
        </w:tc>
        <w:tc>
          <w:tcPr>
            <w:tcW w:w="1134" w:type="dxa"/>
            <w:shd w:val="clear" w:color="auto" w:fill="auto"/>
          </w:tcPr>
          <w:p w:rsidR="009E3385" w:rsidRPr="0023049D" w:rsidRDefault="009E3385" w:rsidP="0057715B">
            <w:pPr>
              <w:pStyle w:val="TableText"/>
              <w:jc w:val="right"/>
              <w:rPr>
                <w:lang w:eastAsia="en-GB"/>
              </w:rPr>
            </w:pPr>
            <w:r w:rsidRPr="0023049D">
              <w:rPr>
                <w:lang w:eastAsia="en-GB"/>
              </w:rPr>
              <w:t>1%</w:t>
            </w:r>
          </w:p>
        </w:tc>
        <w:tc>
          <w:tcPr>
            <w:tcW w:w="1133" w:type="dxa"/>
            <w:shd w:val="clear" w:color="auto" w:fill="auto"/>
          </w:tcPr>
          <w:p w:rsidR="009E3385" w:rsidRPr="0023049D" w:rsidRDefault="009E3385" w:rsidP="0057715B">
            <w:pPr>
              <w:pStyle w:val="TableText"/>
              <w:jc w:val="center"/>
              <w:rPr>
                <w:lang w:eastAsia="en-GB"/>
              </w:rPr>
            </w:pPr>
            <w:r w:rsidRPr="0023049D">
              <w:rPr>
                <w:lang w:eastAsia="en-GB"/>
              </w:rPr>
              <w:t>0.5%</w:t>
            </w:r>
          </w:p>
        </w:tc>
        <w:tc>
          <w:tcPr>
            <w:tcW w:w="1276" w:type="dxa"/>
            <w:shd w:val="clear" w:color="auto" w:fill="auto"/>
          </w:tcPr>
          <w:p w:rsidR="009E3385" w:rsidRPr="0023049D" w:rsidRDefault="005E691D" w:rsidP="0057715B">
            <w:pPr>
              <w:pStyle w:val="TableText"/>
              <w:rPr>
                <w:lang w:eastAsia="en-GB"/>
              </w:rPr>
            </w:pPr>
            <w:r w:rsidRPr="0023049D">
              <w:rPr>
                <w:lang w:eastAsia="en-GB"/>
              </w:rPr>
              <w:t>Recommended</w:t>
            </w:r>
          </w:p>
        </w:tc>
        <w:tc>
          <w:tcPr>
            <w:tcW w:w="1276" w:type="dxa"/>
            <w:shd w:val="clear" w:color="auto" w:fill="auto"/>
          </w:tcPr>
          <w:p w:rsidR="009E3385" w:rsidRPr="0023049D" w:rsidRDefault="005E691D" w:rsidP="0057715B">
            <w:pPr>
              <w:pStyle w:val="TableText"/>
              <w:rPr>
                <w:lang w:eastAsia="en-GB"/>
              </w:rPr>
            </w:pPr>
            <w:r w:rsidRPr="0023049D">
              <w:rPr>
                <w:lang w:eastAsia="en-GB"/>
              </w:rPr>
              <w:t>Acceptable</w:t>
            </w:r>
          </w:p>
        </w:tc>
        <w:tc>
          <w:tcPr>
            <w:tcW w:w="1135" w:type="dxa"/>
            <w:shd w:val="clear" w:color="auto" w:fill="auto"/>
          </w:tcPr>
          <w:p w:rsidR="009E3385" w:rsidRPr="0023049D" w:rsidRDefault="005E691D" w:rsidP="0057715B">
            <w:pPr>
              <w:pStyle w:val="TableText"/>
              <w:rPr>
                <w:lang w:eastAsia="en-GB"/>
              </w:rPr>
            </w:pPr>
            <w:r w:rsidRPr="0023049D">
              <w:rPr>
                <w:lang w:eastAsia="en-GB"/>
              </w:rPr>
              <w:t>Screening method only</w:t>
            </w:r>
          </w:p>
        </w:tc>
      </w:tr>
      <w:tr w:rsidR="009E3385" w:rsidRPr="0023049D" w:rsidTr="00D81522">
        <w:trPr>
          <w:cantSplit/>
        </w:trPr>
        <w:tc>
          <w:tcPr>
            <w:tcW w:w="2410" w:type="dxa"/>
            <w:shd w:val="clear" w:color="auto" w:fill="auto"/>
          </w:tcPr>
          <w:p w:rsidR="009E3385" w:rsidRPr="0023049D" w:rsidRDefault="009E3385" w:rsidP="0057715B">
            <w:pPr>
              <w:pStyle w:val="TableText"/>
            </w:pPr>
            <w:r w:rsidRPr="0023049D">
              <w:t>Non-ducted and ducted split commercial air conditioners</w:t>
            </w:r>
            <w:r w:rsidR="000327BD">
              <w:br/>
            </w:r>
            <w:r w:rsidRPr="0023049D">
              <w:t>(up to 20kW)</w:t>
            </w:r>
          </w:p>
        </w:tc>
        <w:tc>
          <w:tcPr>
            <w:tcW w:w="992" w:type="dxa"/>
            <w:shd w:val="clear" w:color="auto" w:fill="auto"/>
          </w:tcPr>
          <w:p w:rsidR="009E3385" w:rsidRPr="0023049D" w:rsidRDefault="009E3385" w:rsidP="0057715B">
            <w:pPr>
              <w:pStyle w:val="TableText"/>
              <w:jc w:val="right"/>
              <w:rPr>
                <w:lang w:eastAsia="en-GB"/>
              </w:rPr>
            </w:pPr>
            <w:r w:rsidRPr="0023049D">
              <w:rPr>
                <w:lang w:eastAsia="en-GB"/>
              </w:rPr>
              <w:t>0.25kg per kW cooling capacity</w:t>
            </w:r>
          </w:p>
        </w:tc>
        <w:tc>
          <w:tcPr>
            <w:tcW w:w="1134" w:type="dxa"/>
            <w:shd w:val="clear" w:color="auto" w:fill="auto"/>
          </w:tcPr>
          <w:p w:rsidR="009E3385" w:rsidRPr="0023049D" w:rsidRDefault="009E3385" w:rsidP="0057715B">
            <w:pPr>
              <w:pStyle w:val="TableText"/>
              <w:jc w:val="right"/>
              <w:rPr>
                <w:lang w:eastAsia="en-GB"/>
              </w:rPr>
            </w:pPr>
            <w:r w:rsidRPr="0023049D">
              <w:rPr>
                <w:lang w:eastAsia="en-GB"/>
              </w:rPr>
              <w:t>3%</w:t>
            </w:r>
          </w:p>
        </w:tc>
        <w:tc>
          <w:tcPr>
            <w:tcW w:w="1133" w:type="dxa"/>
            <w:shd w:val="clear" w:color="auto" w:fill="auto"/>
          </w:tcPr>
          <w:p w:rsidR="009E3385" w:rsidRPr="0023049D" w:rsidRDefault="009E3385" w:rsidP="0057715B">
            <w:pPr>
              <w:pStyle w:val="TableText"/>
              <w:jc w:val="center"/>
              <w:rPr>
                <w:lang w:eastAsia="en-GB"/>
              </w:rPr>
            </w:pPr>
            <w:r w:rsidRPr="0023049D">
              <w:rPr>
                <w:lang w:eastAsia="en-GB"/>
              </w:rPr>
              <w:t>0.5%</w:t>
            </w:r>
          </w:p>
        </w:tc>
        <w:tc>
          <w:tcPr>
            <w:tcW w:w="1276" w:type="dxa"/>
            <w:shd w:val="clear" w:color="auto" w:fill="auto"/>
          </w:tcPr>
          <w:p w:rsidR="009E3385" w:rsidRPr="0023049D" w:rsidRDefault="005E691D" w:rsidP="0057715B">
            <w:pPr>
              <w:pStyle w:val="TableText"/>
              <w:rPr>
                <w:lang w:eastAsia="en-GB"/>
              </w:rPr>
            </w:pPr>
            <w:r w:rsidRPr="0023049D">
              <w:rPr>
                <w:lang w:eastAsia="en-GB"/>
              </w:rPr>
              <w:t>Recommended</w:t>
            </w:r>
          </w:p>
        </w:tc>
        <w:tc>
          <w:tcPr>
            <w:tcW w:w="1276" w:type="dxa"/>
            <w:shd w:val="clear" w:color="auto" w:fill="auto"/>
          </w:tcPr>
          <w:p w:rsidR="009E3385" w:rsidRPr="0023049D" w:rsidRDefault="005E691D" w:rsidP="0057715B">
            <w:pPr>
              <w:pStyle w:val="TableText"/>
              <w:rPr>
                <w:lang w:eastAsia="en-GB"/>
              </w:rPr>
            </w:pPr>
            <w:r w:rsidRPr="0023049D">
              <w:rPr>
                <w:lang w:eastAsia="en-GB"/>
              </w:rPr>
              <w:t>Acceptable</w:t>
            </w:r>
          </w:p>
        </w:tc>
        <w:tc>
          <w:tcPr>
            <w:tcW w:w="1135" w:type="dxa"/>
            <w:shd w:val="clear" w:color="auto" w:fill="auto"/>
          </w:tcPr>
          <w:p w:rsidR="009E3385" w:rsidRPr="0023049D" w:rsidRDefault="005E691D" w:rsidP="0057715B">
            <w:pPr>
              <w:pStyle w:val="TableText"/>
              <w:rPr>
                <w:lang w:eastAsia="en-GB"/>
              </w:rPr>
            </w:pPr>
            <w:r w:rsidRPr="0023049D">
              <w:rPr>
                <w:lang w:eastAsia="en-GB"/>
              </w:rPr>
              <w:t>Screening method only</w:t>
            </w:r>
          </w:p>
        </w:tc>
      </w:tr>
      <w:tr w:rsidR="009E3385" w:rsidRPr="0023049D" w:rsidTr="00D81522">
        <w:trPr>
          <w:cantSplit/>
        </w:trPr>
        <w:tc>
          <w:tcPr>
            <w:tcW w:w="2410" w:type="dxa"/>
            <w:shd w:val="clear" w:color="auto" w:fill="auto"/>
          </w:tcPr>
          <w:p w:rsidR="009E3385" w:rsidRPr="0023049D" w:rsidRDefault="009E3385" w:rsidP="0057715B">
            <w:pPr>
              <w:pStyle w:val="TableText"/>
            </w:pPr>
            <w:r w:rsidRPr="0023049D">
              <w:t>Commercial air conditioning</w:t>
            </w:r>
            <w:r w:rsidR="000327BD">
              <w:br/>
            </w:r>
            <w:r w:rsidRPr="0023049D">
              <w:t>(above 20kW)</w:t>
            </w:r>
          </w:p>
        </w:tc>
        <w:tc>
          <w:tcPr>
            <w:tcW w:w="992" w:type="dxa"/>
            <w:shd w:val="clear" w:color="auto" w:fill="auto"/>
          </w:tcPr>
          <w:p w:rsidR="009E3385" w:rsidRPr="0023049D" w:rsidRDefault="009E3385" w:rsidP="0057715B">
            <w:pPr>
              <w:pStyle w:val="TableText"/>
              <w:jc w:val="right"/>
              <w:rPr>
                <w:lang w:eastAsia="en-GB"/>
              </w:rPr>
            </w:pPr>
            <w:r w:rsidRPr="0023049D">
              <w:rPr>
                <w:lang w:eastAsia="en-GB"/>
              </w:rPr>
              <w:t>wide range</w:t>
            </w:r>
          </w:p>
        </w:tc>
        <w:tc>
          <w:tcPr>
            <w:tcW w:w="1134" w:type="dxa"/>
            <w:shd w:val="clear" w:color="auto" w:fill="auto"/>
          </w:tcPr>
          <w:p w:rsidR="009E3385" w:rsidRPr="0023049D" w:rsidRDefault="005E691D" w:rsidP="0057715B">
            <w:pPr>
              <w:pStyle w:val="TableText"/>
              <w:jc w:val="right"/>
              <w:rPr>
                <w:lang w:eastAsia="en-GB"/>
              </w:rPr>
            </w:pPr>
            <w:r w:rsidRPr="0023049D">
              <w:rPr>
                <w:lang w:eastAsia="en-GB"/>
              </w:rPr>
              <w:t>Wide range</w:t>
            </w:r>
          </w:p>
        </w:tc>
        <w:tc>
          <w:tcPr>
            <w:tcW w:w="1133" w:type="dxa"/>
            <w:shd w:val="clear" w:color="auto" w:fill="auto"/>
          </w:tcPr>
          <w:p w:rsidR="009E3385" w:rsidRPr="0023049D" w:rsidRDefault="005E691D" w:rsidP="0057715B">
            <w:pPr>
              <w:pStyle w:val="TableText"/>
              <w:rPr>
                <w:lang w:eastAsia="en-GB"/>
              </w:rPr>
            </w:pPr>
            <w:r w:rsidRPr="0023049D">
              <w:rPr>
                <w:lang w:eastAsia="en-GB"/>
              </w:rPr>
              <w:t>Wide range</w:t>
            </w:r>
          </w:p>
        </w:tc>
        <w:tc>
          <w:tcPr>
            <w:tcW w:w="1276" w:type="dxa"/>
            <w:shd w:val="clear" w:color="auto" w:fill="auto"/>
          </w:tcPr>
          <w:p w:rsidR="009E3385" w:rsidRPr="0023049D" w:rsidRDefault="005E691D" w:rsidP="0057715B">
            <w:pPr>
              <w:pStyle w:val="TableText"/>
              <w:rPr>
                <w:lang w:eastAsia="en-GB"/>
              </w:rPr>
            </w:pPr>
            <w:r w:rsidRPr="0023049D">
              <w:rPr>
                <w:lang w:eastAsia="en-GB"/>
              </w:rPr>
              <w:t>Recommended</w:t>
            </w:r>
          </w:p>
        </w:tc>
        <w:tc>
          <w:tcPr>
            <w:tcW w:w="1276" w:type="dxa"/>
            <w:shd w:val="clear" w:color="auto" w:fill="auto"/>
          </w:tcPr>
          <w:p w:rsidR="009E3385" w:rsidRPr="0023049D" w:rsidRDefault="005E691D" w:rsidP="0057715B">
            <w:pPr>
              <w:pStyle w:val="TableText"/>
              <w:rPr>
                <w:lang w:eastAsia="en-GB"/>
              </w:rPr>
            </w:pPr>
            <w:r w:rsidRPr="0023049D">
              <w:rPr>
                <w:lang w:eastAsia="en-GB"/>
              </w:rPr>
              <w:t>Unacceptable</w:t>
            </w:r>
          </w:p>
        </w:tc>
        <w:tc>
          <w:tcPr>
            <w:tcW w:w="1135" w:type="dxa"/>
            <w:shd w:val="clear" w:color="auto" w:fill="auto"/>
          </w:tcPr>
          <w:p w:rsidR="009E3385" w:rsidRPr="0023049D" w:rsidRDefault="005E691D" w:rsidP="0057715B">
            <w:pPr>
              <w:pStyle w:val="TableText"/>
              <w:rPr>
                <w:lang w:eastAsia="en-GB"/>
              </w:rPr>
            </w:pPr>
            <w:r w:rsidRPr="0023049D">
              <w:rPr>
                <w:lang w:eastAsia="en-GB"/>
              </w:rPr>
              <w:t>Unacceptable</w:t>
            </w:r>
          </w:p>
        </w:tc>
      </w:tr>
      <w:tr w:rsidR="009E3385" w:rsidRPr="0023049D" w:rsidTr="00D81522">
        <w:trPr>
          <w:cantSplit/>
        </w:trPr>
        <w:tc>
          <w:tcPr>
            <w:tcW w:w="2410" w:type="dxa"/>
            <w:shd w:val="clear" w:color="auto" w:fill="auto"/>
          </w:tcPr>
          <w:p w:rsidR="009E3385" w:rsidRPr="0023049D" w:rsidRDefault="009E3385" w:rsidP="0057715B">
            <w:pPr>
              <w:pStyle w:val="TableText"/>
            </w:pPr>
            <w:r w:rsidRPr="0023049D">
              <w:t>Cars/vans</w:t>
            </w:r>
          </w:p>
        </w:tc>
        <w:tc>
          <w:tcPr>
            <w:tcW w:w="992" w:type="dxa"/>
            <w:shd w:val="clear" w:color="auto" w:fill="auto"/>
          </w:tcPr>
          <w:p w:rsidR="009E3385" w:rsidRPr="0023049D" w:rsidRDefault="009E3385" w:rsidP="0057715B">
            <w:pPr>
              <w:pStyle w:val="TableText"/>
              <w:jc w:val="right"/>
              <w:rPr>
                <w:lang w:eastAsia="en-GB"/>
              </w:rPr>
            </w:pPr>
            <w:r w:rsidRPr="0023049D">
              <w:rPr>
                <w:lang w:eastAsia="en-GB"/>
              </w:rPr>
              <w:t>0.7</w:t>
            </w:r>
          </w:p>
        </w:tc>
        <w:tc>
          <w:tcPr>
            <w:tcW w:w="1134" w:type="dxa"/>
            <w:shd w:val="clear" w:color="auto" w:fill="auto"/>
          </w:tcPr>
          <w:p w:rsidR="009E3385" w:rsidRPr="0023049D" w:rsidRDefault="009E3385" w:rsidP="0057715B">
            <w:pPr>
              <w:pStyle w:val="TableText"/>
              <w:jc w:val="right"/>
              <w:rPr>
                <w:lang w:eastAsia="en-GB"/>
              </w:rPr>
            </w:pPr>
            <w:r w:rsidRPr="0023049D">
              <w:rPr>
                <w:lang w:eastAsia="en-GB"/>
              </w:rPr>
              <w:t>10%</w:t>
            </w:r>
          </w:p>
        </w:tc>
        <w:tc>
          <w:tcPr>
            <w:tcW w:w="1133" w:type="dxa"/>
            <w:shd w:val="clear" w:color="auto" w:fill="auto"/>
          </w:tcPr>
          <w:p w:rsidR="009E3385" w:rsidRPr="0023049D" w:rsidRDefault="005E691D" w:rsidP="0057715B">
            <w:pPr>
              <w:pStyle w:val="TableText"/>
              <w:rPr>
                <w:lang w:eastAsia="en-GB"/>
              </w:rPr>
            </w:pPr>
            <w:r w:rsidRPr="0023049D">
              <w:rPr>
                <w:lang w:eastAsia="en-GB"/>
              </w:rPr>
              <w:t>Not applicable</w:t>
            </w:r>
          </w:p>
        </w:tc>
        <w:tc>
          <w:tcPr>
            <w:tcW w:w="1276" w:type="dxa"/>
            <w:shd w:val="clear" w:color="auto" w:fill="auto"/>
          </w:tcPr>
          <w:p w:rsidR="009E3385" w:rsidRPr="0023049D" w:rsidRDefault="005E691D" w:rsidP="0057715B">
            <w:pPr>
              <w:pStyle w:val="TableText"/>
              <w:rPr>
                <w:lang w:eastAsia="en-GB"/>
              </w:rPr>
            </w:pPr>
            <w:r w:rsidRPr="0023049D">
              <w:rPr>
                <w:lang w:eastAsia="en-GB"/>
              </w:rPr>
              <w:t>Unnecessary</w:t>
            </w:r>
          </w:p>
        </w:tc>
        <w:tc>
          <w:tcPr>
            <w:tcW w:w="1276" w:type="dxa"/>
            <w:shd w:val="clear" w:color="auto" w:fill="auto"/>
          </w:tcPr>
          <w:p w:rsidR="009E3385" w:rsidRPr="0023049D" w:rsidRDefault="005E691D" w:rsidP="0057715B">
            <w:pPr>
              <w:pStyle w:val="TableText"/>
              <w:rPr>
                <w:lang w:eastAsia="en-GB"/>
              </w:rPr>
            </w:pPr>
            <w:r w:rsidRPr="0023049D">
              <w:rPr>
                <w:lang w:eastAsia="en-GB"/>
              </w:rPr>
              <w:t>Recommended</w:t>
            </w:r>
          </w:p>
        </w:tc>
        <w:tc>
          <w:tcPr>
            <w:tcW w:w="1135" w:type="dxa"/>
            <w:shd w:val="clear" w:color="auto" w:fill="auto"/>
          </w:tcPr>
          <w:p w:rsidR="009E3385" w:rsidRPr="0023049D" w:rsidRDefault="005E691D" w:rsidP="0057715B">
            <w:pPr>
              <w:pStyle w:val="TableText"/>
              <w:rPr>
                <w:lang w:eastAsia="en-GB"/>
              </w:rPr>
            </w:pPr>
            <w:r w:rsidRPr="0023049D">
              <w:rPr>
                <w:lang w:eastAsia="en-GB"/>
              </w:rPr>
              <w:t>Acceptable</w:t>
            </w:r>
          </w:p>
        </w:tc>
      </w:tr>
      <w:tr w:rsidR="009E3385" w:rsidRPr="0023049D" w:rsidTr="00D81522">
        <w:trPr>
          <w:cantSplit/>
        </w:trPr>
        <w:tc>
          <w:tcPr>
            <w:tcW w:w="2410" w:type="dxa"/>
            <w:shd w:val="clear" w:color="auto" w:fill="auto"/>
          </w:tcPr>
          <w:p w:rsidR="009E3385" w:rsidRPr="0023049D" w:rsidRDefault="009E3385" w:rsidP="0057715B">
            <w:pPr>
              <w:pStyle w:val="TableText"/>
            </w:pPr>
            <w:r w:rsidRPr="0023049D">
              <w:lastRenderedPageBreak/>
              <w:t>Trucks</w:t>
            </w:r>
          </w:p>
        </w:tc>
        <w:tc>
          <w:tcPr>
            <w:tcW w:w="992" w:type="dxa"/>
            <w:shd w:val="clear" w:color="auto" w:fill="auto"/>
          </w:tcPr>
          <w:p w:rsidR="009E3385" w:rsidRPr="0023049D" w:rsidRDefault="009E3385" w:rsidP="0057715B">
            <w:pPr>
              <w:pStyle w:val="TableText"/>
              <w:jc w:val="right"/>
              <w:rPr>
                <w:lang w:eastAsia="en-GB"/>
              </w:rPr>
            </w:pPr>
            <w:r w:rsidRPr="0023049D">
              <w:rPr>
                <w:lang w:eastAsia="en-GB"/>
              </w:rPr>
              <w:t>1.2</w:t>
            </w:r>
          </w:p>
        </w:tc>
        <w:tc>
          <w:tcPr>
            <w:tcW w:w="1134" w:type="dxa"/>
            <w:shd w:val="clear" w:color="auto" w:fill="auto"/>
          </w:tcPr>
          <w:p w:rsidR="009E3385" w:rsidRPr="0023049D" w:rsidRDefault="009E3385" w:rsidP="0057715B">
            <w:pPr>
              <w:pStyle w:val="TableText"/>
              <w:jc w:val="right"/>
              <w:rPr>
                <w:lang w:eastAsia="en-GB"/>
              </w:rPr>
            </w:pPr>
            <w:r w:rsidRPr="0023049D">
              <w:rPr>
                <w:lang w:eastAsia="en-GB"/>
              </w:rPr>
              <w:t>10%</w:t>
            </w:r>
          </w:p>
        </w:tc>
        <w:tc>
          <w:tcPr>
            <w:tcW w:w="1133" w:type="dxa"/>
            <w:shd w:val="clear" w:color="auto" w:fill="auto"/>
          </w:tcPr>
          <w:p w:rsidR="009E3385" w:rsidRPr="0023049D" w:rsidRDefault="005E691D" w:rsidP="0057715B">
            <w:pPr>
              <w:pStyle w:val="TableText"/>
              <w:rPr>
                <w:lang w:eastAsia="en-GB"/>
              </w:rPr>
            </w:pPr>
            <w:r w:rsidRPr="0023049D">
              <w:rPr>
                <w:lang w:eastAsia="en-GB"/>
              </w:rPr>
              <w:t>Not applicable</w:t>
            </w:r>
          </w:p>
        </w:tc>
        <w:tc>
          <w:tcPr>
            <w:tcW w:w="1276" w:type="dxa"/>
            <w:shd w:val="clear" w:color="auto" w:fill="auto"/>
          </w:tcPr>
          <w:p w:rsidR="009E3385" w:rsidRPr="0023049D" w:rsidRDefault="005E691D" w:rsidP="0057715B">
            <w:pPr>
              <w:pStyle w:val="TableText"/>
              <w:rPr>
                <w:lang w:eastAsia="en-GB"/>
              </w:rPr>
            </w:pPr>
            <w:r w:rsidRPr="0023049D">
              <w:rPr>
                <w:lang w:eastAsia="en-GB"/>
              </w:rPr>
              <w:t>Recommended</w:t>
            </w:r>
          </w:p>
        </w:tc>
        <w:tc>
          <w:tcPr>
            <w:tcW w:w="1276" w:type="dxa"/>
            <w:shd w:val="clear" w:color="auto" w:fill="auto"/>
          </w:tcPr>
          <w:p w:rsidR="009E3385" w:rsidRPr="0023049D" w:rsidRDefault="005E691D" w:rsidP="0057715B">
            <w:pPr>
              <w:pStyle w:val="TableText"/>
              <w:rPr>
                <w:lang w:eastAsia="en-GB"/>
              </w:rPr>
            </w:pPr>
            <w:r w:rsidRPr="0023049D">
              <w:rPr>
                <w:lang w:eastAsia="en-GB"/>
              </w:rPr>
              <w:t>Acceptable</w:t>
            </w:r>
          </w:p>
        </w:tc>
        <w:tc>
          <w:tcPr>
            <w:tcW w:w="1135" w:type="dxa"/>
            <w:shd w:val="clear" w:color="auto" w:fill="auto"/>
          </w:tcPr>
          <w:p w:rsidR="009E3385" w:rsidRPr="0023049D" w:rsidRDefault="005E691D" w:rsidP="0057715B">
            <w:pPr>
              <w:pStyle w:val="TableText"/>
              <w:rPr>
                <w:lang w:eastAsia="en-GB"/>
              </w:rPr>
            </w:pPr>
            <w:r w:rsidRPr="0023049D">
              <w:rPr>
                <w:lang w:eastAsia="en-GB"/>
              </w:rPr>
              <w:t>Screening method only</w:t>
            </w:r>
          </w:p>
        </w:tc>
      </w:tr>
      <w:tr w:rsidR="009E3385" w:rsidRPr="0023049D" w:rsidTr="00D81522">
        <w:trPr>
          <w:cantSplit/>
        </w:trPr>
        <w:tc>
          <w:tcPr>
            <w:tcW w:w="2410" w:type="dxa"/>
            <w:shd w:val="clear" w:color="auto" w:fill="auto"/>
          </w:tcPr>
          <w:p w:rsidR="009E3385" w:rsidRPr="0023049D" w:rsidRDefault="009E3385" w:rsidP="0057715B">
            <w:pPr>
              <w:pStyle w:val="TableText"/>
            </w:pPr>
            <w:r w:rsidRPr="0023049D">
              <w:t>Buses</w:t>
            </w:r>
          </w:p>
        </w:tc>
        <w:tc>
          <w:tcPr>
            <w:tcW w:w="992" w:type="dxa"/>
            <w:shd w:val="clear" w:color="auto" w:fill="auto"/>
          </w:tcPr>
          <w:p w:rsidR="009E3385" w:rsidRPr="0023049D" w:rsidRDefault="009E3385" w:rsidP="0057715B">
            <w:pPr>
              <w:pStyle w:val="TableText"/>
              <w:jc w:val="center"/>
              <w:rPr>
                <w:lang w:eastAsia="en-GB"/>
              </w:rPr>
            </w:pPr>
            <w:r w:rsidRPr="0023049D">
              <w:rPr>
                <w:lang w:eastAsia="en-GB"/>
              </w:rPr>
              <w:t>2.5</w:t>
            </w:r>
            <w:r w:rsidR="000327BD">
              <w:rPr>
                <w:lang w:eastAsia="en-GB"/>
              </w:rPr>
              <w:t xml:space="preserve"> </w:t>
            </w:r>
            <w:r w:rsidRPr="0023049D">
              <w:rPr>
                <w:lang w:eastAsia="en-GB"/>
              </w:rPr>
              <w:t>(but up to 10)</w:t>
            </w:r>
          </w:p>
        </w:tc>
        <w:tc>
          <w:tcPr>
            <w:tcW w:w="1134" w:type="dxa"/>
            <w:shd w:val="clear" w:color="auto" w:fill="auto"/>
          </w:tcPr>
          <w:p w:rsidR="009E3385" w:rsidRPr="0023049D" w:rsidRDefault="009E3385" w:rsidP="0057715B">
            <w:pPr>
              <w:pStyle w:val="TableText"/>
              <w:jc w:val="center"/>
              <w:rPr>
                <w:lang w:eastAsia="en-GB"/>
              </w:rPr>
            </w:pPr>
            <w:r w:rsidRPr="0023049D">
              <w:rPr>
                <w:lang w:eastAsia="en-GB"/>
              </w:rPr>
              <w:t>10%</w:t>
            </w:r>
          </w:p>
        </w:tc>
        <w:tc>
          <w:tcPr>
            <w:tcW w:w="1133" w:type="dxa"/>
            <w:shd w:val="clear" w:color="auto" w:fill="auto"/>
          </w:tcPr>
          <w:p w:rsidR="009E3385" w:rsidRPr="0023049D" w:rsidRDefault="005E691D" w:rsidP="0057715B">
            <w:pPr>
              <w:pStyle w:val="TableText"/>
              <w:rPr>
                <w:lang w:eastAsia="en-GB"/>
              </w:rPr>
            </w:pPr>
            <w:r w:rsidRPr="0023049D">
              <w:rPr>
                <w:lang w:eastAsia="en-GB"/>
              </w:rPr>
              <w:t>Not applicable</w:t>
            </w:r>
          </w:p>
        </w:tc>
        <w:tc>
          <w:tcPr>
            <w:tcW w:w="1276" w:type="dxa"/>
            <w:shd w:val="clear" w:color="auto" w:fill="auto"/>
          </w:tcPr>
          <w:p w:rsidR="009E3385" w:rsidRPr="0023049D" w:rsidRDefault="005E691D" w:rsidP="0057715B">
            <w:pPr>
              <w:pStyle w:val="TableText"/>
              <w:rPr>
                <w:lang w:eastAsia="en-GB"/>
              </w:rPr>
            </w:pPr>
            <w:r w:rsidRPr="0023049D">
              <w:rPr>
                <w:lang w:eastAsia="en-GB"/>
              </w:rPr>
              <w:t>Recommended</w:t>
            </w:r>
          </w:p>
        </w:tc>
        <w:tc>
          <w:tcPr>
            <w:tcW w:w="1276" w:type="dxa"/>
            <w:shd w:val="clear" w:color="auto" w:fill="auto"/>
          </w:tcPr>
          <w:p w:rsidR="009E3385" w:rsidRPr="0023049D" w:rsidRDefault="005E691D" w:rsidP="0057715B">
            <w:pPr>
              <w:pStyle w:val="TableText"/>
              <w:rPr>
                <w:lang w:eastAsia="en-GB"/>
              </w:rPr>
            </w:pPr>
            <w:r w:rsidRPr="0023049D">
              <w:rPr>
                <w:lang w:eastAsia="en-GB"/>
              </w:rPr>
              <w:t>Acceptable</w:t>
            </w:r>
          </w:p>
        </w:tc>
        <w:tc>
          <w:tcPr>
            <w:tcW w:w="1135" w:type="dxa"/>
            <w:shd w:val="clear" w:color="auto" w:fill="auto"/>
          </w:tcPr>
          <w:p w:rsidR="009E3385" w:rsidRPr="0023049D" w:rsidRDefault="005E691D" w:rsidP="0057715B">
            <w:pPr>
              <w:pStyle w:val="TableText"/>
              <w:rPr>
                <w:lang w:eastAsia="en-GB"/>
              </w:rPr>
            </w:pPr>
            <w:r w:rsidRPr="0023049D">
              <w:rPr>
                <w:lang w:eastAsia="en-GB"/>
              </w:rPr>
              <w:t>Screening method only</w:t>
            </w:r>
          </w:p>
        </w:tc>
      </w:tr>
      <w:tr w:rsidR="009E3385" w:rsidRPr="0023049D" w:rsidTr="00D81522">
        <w:trPr>
          <w:cantSplit/>
        </w:trPr>
        <w:tc>
          <w:tcPr>
            <w:tcW w:w="2410" w:type="dxa"/>
            <w:shd w:val="clear" w:color="auto" w:fill="auto"/>
          </w:tcPr>
          <w:p w:rsidR="009E3385" w:rsidRPr="0023049D" w:rsidRDefault="009E3385" w:rsidP="0057715B">
            <w:pPr>
              <w:pStyle w:val="TableText"/>
            </w:pPr>
            <w:r w:rsidRPr="0023049D">
              <w:t>Refrigerated truck trailer units</w:t>
            </w:r>
          </w:p>
        </w:tc>
        <w:tc>
          <w:tcPr>
            <w:tcW w:w="992" w:type="dxa"/>
            <w:shd w:val="clear" w:color="auto" w:fill="auto"/>
          </w:tcPr>
          <w:p w:rsidR="009E3385" w:rsidRPr="0023049D" w:rsidRDefault="009E3385" w:rsidP="0057715B">
            <w:pPr>
              <w:pStyle w:val="TableText"/>
              <w:jc w:val="center"/>
              <w:rPr>
                <w:lang w:eastAsia="en-GB"/>
              </w:rPr>
            </w:pPr>
            <w:r w:rsidRPr="0023049D">
              <w:rPr>
                <w:lang w:eastAsia="en-GB"/>
              </w:rPr>
              <w:t>10</w:t>
            </w:r>
          </w:p>
        </w:tc>
        <w:tc>
          <w:tcPr>
            <w:tcW w:w="1134" w:type="dxa"/>
            <w:shd w:val="clear" w:color="auto" w:fill="auto"/>
          </w:tcPr>
          <w:p w:rsidR="009E3385" w:rsidRPr="0023049D" w:rsidRDefault="009E3385" w:rsidP="0057715B">
            <w:pPr>
              <w:pStyle w:val="TableText"/>
              <w:jc w:val="center"/>
              <w:rPr>
                <w:lang w:eastAsia="en-GB"/>
              </w:rPr>
            </w:pPr>
            <w:r w:rsidRPr="0023049D">
              <w:rPr>
                <w:lang w:eastAsia="en-GB"/>
              </w:rPr>
              <w:t>25%</w:t>
            </w:r>
          </w:p>
        </w:tc>
        <w:tc>
          <w:tcPr>
            <w:tcW w:w="1133" w:type="dxa"/>
            <w:shd w:val="clear" w:color="auto" w:fill="auto"/>
          </w:tcPr>
          <w:p w:rsidR="009E3385" w:rsidRPr="0023049D" w:rsidRDefault="009E3385" w:rsidP="0057715B">
            <w:pPr>
              <w:pStyle w:val="TableText"/>
              <w:jc w:val="center"/>
              <w:rPr>
                <w:lang w:eastAsia="en-GB"/>
              </w:rPr>
            </w:pPr>
            <w:r w:rsidRPr="0023049D">
              <w:rPr>
                <w:lang w:eastAsia="en-GB"/>
              </w:rPr>
              <w:t>0.5%</w:t>
            </w:r>
          </w:p>
        </w:tc>
        <w:tc>
          <w:tcPr>
            <w:tcW w:w="1276" w:type="dxa"/>
            <w:shd w:val="clear" w:color="auto" w:fill="auto"/>
          </w:tcPr>
          <w:p w:rsidR="009E3385" w:rsidRPr="0023049D" w:rsidRDefault="005E691D" w:rsidP="0057715B">
            <w:pPr>
              <w:pStyle w:val="TableText"/>
              <w:rPr>
                <w:lang w:eastAsia="en-GB"/>
              </w:rPr>
            </w:pPr>
            <w:r w:rsidRPr="0023049D">
              <w:rPr>
                <w:lang w:eastAsia="en-GB"/>
              </w:rPr>
              <w:t>Recommended</w:t>
            </w:r>
          </w:p>
        </w:tc>
        <w:tc>
          <w:tcPr>
            <w:tcW w:w="1276" w:type="dxa"/>
            <w:shd w:val="clear" w:color="auto" w:fill="auto"/>
          </w:tcPr>
          <w:p w:rsidR="009E3385" w:rsidRPr="0023049D" w:rsidRDefault="005E691D" w:rsidP="0057715B">
            <w:pPr>
              <w:pStyle w:val="TableText"/>
              <w:rPr>
                <w:lang w:eastAsia="en-GB"/>
              </w:rPr>
            </w:pPr>
            <w:r w:rsidRPr="0023049D">
              <w:rPr>
                <w:lang w:eastAsia="en-GB"/>
              </w:rPr>
              <w:t>Acceptable</w:t>
            </w:r>
          </w:p>
        </w:tc>
        <w:tc>
          <w:tcPr>
            <w:tcW w:w="1135" w:type="dxa"/>
            <w:shd w:val="clear" w:color="auto" w:fill="auto"/>
          </w:tcPr>
          <w:p w:rsidR="009E3385" w:rsidRPr="0023049D" w:rsidRDefault="005E691D" w:rsidP="0057715B">
            <w:pPr>
              <w:pStyle w:val="TableText"/>
              <w:rPr>
                <w:lang w:eastAsia="en-GB"/>
              </w:rPr>
            </w:pPr>
            <w:r w:rsidRPr="0023049D">
              <w:rPr>
                <w:lang w:eastAsia="en-GB"/>
              </w:rPr>
              <w:t>Unacceptable</w:t>
            </w:r>
          </w:p>
        </w:tc>
      </w:tr>
      <w:tr w:rsidR="009E3385" w:rsidRPr="0023049D" w:rsidTr="00D81522">
        <w:trPr>
          <w:cantSplit/>
        </w:trPr>
        <w:tc>
          <w:tcPr>
            <w:tcW w:w="2410" w:type="dxa"/>
            <w:shd w:val="clear" w:color="auto" w:fill="auto"/>
          </w:tcPr>
          <w:p w:rsidR="009E3385" w:rsidRPr="0023049D" w:rsidRDefault="009E3385" w:rsidP="0057715B">
            <w:pPr>
              <w:pStyle w:val="TableText"/>
            </w:pPr>
            <w:r w:rsidRPr="0023049D">
              <w:t xml:space="preserve">Self-powered or </w:t>
            </w:r>
            <w:r w:rsidR="00EC1311">
              <w:t>‘</w:t>
            </w:r>
            <w:r w:rsidRPr="0023049D">
              <w:t>cab-over</w:t>
            </w:r>
            <w:r w:rsidR="00EC1311">
              <w:t>’</w:t>
            </w:r>
            <w:r w:rsidRPr="0023049D">
              <w:t xml:space="preserve"> refrigerated trucks </w:t>
            </w:r>
          </w:p>
        </w:tc>
        <w:tc>
          <w:tcPr>
            <w:tcW w:w="992" w:type="dxa"/>
            <w:shd w:val="clear" w:color="auto" w:fill="auto"/>
          </w:tcPr>
          <w:p w:rsidR="009E3385" w:rsidRPr="0023049D" w:rsidRDefault="009E3385" w:rsidP="0057715B">
            <w:pPr>
              <w:pStyle w:val="TableText"/>
              <w:jc w:val="center"/>
              <w:rPr>
                <w:lang w:eastAsia="en-GB"/>
              </w:rPr>
            </w:pPr>
            <w:r w:rsidRPr="0023049D">
              <w:rPr>
                <w:lang w:eastAsia="en-GB"/>
              </w:rPr>
              <w:t>6</w:t>
            </w:r>
          </w:p>
        </w:tc>
        <w:tc>
          <w:tcPr>
            <w:tcW w:w="1134" w:type="dxa"/>
            <w:shd w:val="clear" w:color="auto" w:fill="auto"/>
          </w:tcPr>
          <w:p w:rsidR="009E3385" w:rsidRPr="0023049D" w:rsidRDefault="009E3385" w:rsidP="0057715B">
            <w:pPr>
              <w:pStyle w:val="TableText"/>
              <w:jc w:val="center"/>
              <w:rPr>
                <w:lang w:eastAsia="en-GB"/>
              </w:rPr>
            </w:pPr>
            <w:r w:rsidRPr="0023049D">
              <w:rPr>
                <w:lang w:eastAsia="en-GB"/>
              </w:rPr>
              <w:t>25%</w:t>
            </w:r>
          </w:p>
        </w:tc>
        <w:tc>
          <w:tcPr>
            <w:tcW w:w="1133" w:type="dxa"/>
            <w:shd w:val="clear" w:color="auto" w:fill="auto"/>
          </w:tcPr>
          <w:p w:rsidR="009E3385" w:rsidRPr="0023049D" w:rsidRDefault="009E3385" w:rsidP="0057715B">
            <w:pPr>
              <w:pStyle w:val="TableText"/>
              <w:jc w:val="center"/>
              <w:rPr>
                <w:lang w:eastAsia="en-GB"/>
              </w:rPr>
            </w:pPr>
            <w:r w:rsidRPr="0023049D">
              <w:rPr>
                <w:lang w:eastAsia="en-GB"/>
              </w:rPr>
              <w:t>0.5%</w:t>
            </w:r>
          </w:p>
        </w:tc>
        <w:tc>
          <w:tcPr>
            <w:tcW w:w="1276" w:type="dxa"/>
            <w:shd w:val="clear" w:color="auto" w:fill="auto"/>
          </w:tcPr>
          <w:p w:rsidR="009E3385" w:rsidRPr="0023049D" w:rsidRDefault="005E691D" w:rsidP="0057715B">
            <w:pPr>
              <w:pStyle w:val="TableText"/>
              <w:rPr>
                <w:lang w:eastAsia="en-GB"/>
              </w:rPr>
            </w:pPr>
            <w:r w:rsidRPr="0023049D">
              <w:rPr>
                <w:lang w:eastAsia="en-GB"/>
              </w:rPr>
              <w:t>Recommended</w:t>
            </w:r>
          </w:p>
        </w:tc>
        <w:tc>
          <w:tcPr>
            <w:tcW w:w="1276" w:type="dxa"/>
            <w:shd w:val="clear" w:color="auto" w:fill="auto"/>
          </w:tcPr>
          <w:p w:rsidR="009E3385" w:rsidRPr="0023049D" w:rsidRDefault="005E691D" w:rsidP="0057715B">
            <w:pPr>
              <w:pStyle w:val="TableText"/>
              <w:rPr>
                <w:lang w:eastAsia="en-GB"/>
              </w:rPr>
            </w:pPr>
            <w:r w:rsidRPr="0023049D">
              <w:rPr>
                <w:lang w:eastAsia="en-GB"/>
              </w:rPr>
              <w:t>Acceptable</w:t>
            </w:r>
          </w:p>
        </w:tc>
        <w:tc>
          <w:tcPr>
            <w:tcW w:w="1135" w:type="dxa"/>
            <w:shd w:val="clear" w:color="auto" w:fill="auto"/>
          </w:tcPr>
          <w:p w:rsidR="009E3385" w:rsidRPr="0023049D" w:rsidRDefault="005E691D" w:rsidP="0057715B">
            <w:pPr>
              <w:pStyle w:val="TableText"/>
              <w:rPr>
                <w:lang w:eastAsia="en-GB"/>
              </w:rPr>
            </w:pPr>
            <w:r w:rsidRPr="0023049D">
              <w:rPr>
                <w:lang w:eastAsia="en-GB"/>
              </w:rPr>
              <w:t>Unaccepta</w:t>
            </w:r>
            <w:r w:rsidR="009E3385" w:rsidRPr="0023049D">
              <w:rPr>
                <w:lang w:eastAsia="en-GB"/>
              </w:rPr>
              <w:t>ble</w:t>
            </w:r>
          </w:p>
        </w:tc>
      </w:tr>
      <w:tr w:rsidR="009E3385" w:rsidRPr="0023049D" w:rsidTr="00D81522">
        <w:trPr>
          <w:cantSplit/>
        </w:trPr>
        <w:tc>
          <w:tcPr>
            <w:tcW w:w="2410" w:type="dxa"/>
            <w:shd w:val="clear" w:color="auto" w:fill="auto"/>
          </w:tcPr>
          <w:p w:rsidR="009E3385" w:rsidRPr="0023049D" w:rsidRDefault="00EC1311" w:rsidP="0057715B">
            <w:pPr>
              <w:pStyle w:val="TableText"/>
            </w:pPr>
            <w:r>
              <w:t>‘</w:t>
            </w:r>
            <w:r w:rsidR="009E3385" w:rsidRPr="0023049D">
              <w:t>Off-engine</w:t>
            </w:r>
            <w:r>
              <w:t>’</w:t>
            </w:r>
            <w:r w:rsidR="009E3385" w:rsidRPr="0023049D">
              <w:t xml:space="preserve"> or </w:t>
            </w:r>
            <w:r>
              <w:t>‘</w:t>
            </w:r>
            <w:r w:rsidR="009E3385" w:rsidRPr="0023049D">
              <w:t>direct drive</w:t>
            </w:r>
            <w:r>
              <w:t>’</w:t>
            </w:r>
            <w:r w:rsidR="009E3385" w:rsidRPr="0023049D">
              <w:t xml:space="preserve"> refrigerated vans and trucks</w:t>
            </w:r>
          </w:p>
        </w:tc>
        <w:tc>
          <w:tcPr>
            <w:tcW w:w="992" w:type="dxa"/>
            <w:shd w:val="clear" w:color="auto" w:fill="auto"/>
          </w:tcPr>
          <w:p w:rsidR="009E3385" w:rsidRPr="0023049D" w:rsidRDefault="009E3385" w:rsidP="0057715B">
            <w:pPr>
              <w:pStyle w:val="TableText"/>
              <w:jc w:val="center"/>
              <w:rPr>
                <w:lang w:eastAsia="en-GB"/>
              </w:rPr>
            </w:pPr>
            <w:r w:rsidRPr="0023049D">
              <w:rPr>
                <w:lang w:eastAsia="en-GB"/>
              </w:rPr>
              <w:t>2.5</w:t>
            </w:r>
          </w:p>
        </w:tc>
        <w:tc>
          <w:tcPr>
            <w:tcW w:w="1134" w:type="dxa"/>
            <w:shd w:val="clear" w:color="auto" w:fill="auto"/>
          </w:tcPr>
          <w:p w:rsidR="009E3385" w:rsidRPr="0023049D" w:rsidRDefault="009E3385" w:rsidP="0057715B">
            <w:pPr>
              <w:pStyle w:val="TableText"/>
              <w:jc w:val="center"/>
              <w:rPr>
                <w:lang w:eastAsia="en-GB"/>
              </w:rPr>
            </w:pPr>
            <w:r w:rsidRPr="0023049D">
              <w:rPr>
                <w:lang w:eastAsia="en-GB"/>
              </w:rPr>
              <w:t>25%</w:t>
            </w:r>
          </w:p>
        </w:tc>
        <w:tc>
          <w:tcPr>
            <w:tcW w:w="1133" w:type="dxa"/>
            <w:shd w:val="clear" w:color="auto" w:fill="auto"/>
          </w:tcPr>
          <w:p w:rsidR="009E3385" w:rsidRPr="0023049D" w:rsidRDefault="009E3385" w:rsidP="0057715B">
            <w:pPr>
              <w:pStyle w:val="TableText"/>
              <w:jc w:val="center"/>
              <w:rPr>
                <w:lang w:eastAsia="en-GB"/>
              </w:rPr>
            </w:pPr>
            <w:r w:rsidRPr="0023049D">
              <w:rPr>
                <w:lang w:eastAsia="en-GB"/>
              </w:rPr>
              <w:t>0.5%</w:t>
            </w:r>
          </w:p>
        </w:tc>
        <w:tc>
          <w:tcPr>
            <w:tcW w:w="1276" w:type="dxa"/>
            <w:shd w:val="clear" w:color="auto" w:fill="auto"/>
          </w:tcPr>
          <w:p w:rsidR="009E3385" w:rsidRPr="0023049D" w:rsidRDefault="005E691D" w:rsidP="0057715B">
            <w:pPr>
              <w:pStyle w:val="TableText"/>
              <w:rPr>
                <w:lang w:eastAsia="en-GB"/>
              </w:rPr>
            </w:pPr>
            <w:r w:rsidRPr="0023049D">
              <w:rPr>
                <w:lang w:eastAsia="en-GB"/>
              </w:rPr>
              <w:t>Recommended</w:t>
            </w:r>
          </w:p>
        </w:tc>
        <w:tc>
          <w:tcPr>
            <w:tcW w:w="1276" w:type="dxa"/>
            <w:shd w:val="clear" w:color="auto" w:fill="auto"/>
          </w:tcPr>
          <w:p w:rsidR="009E3385" w:rsidRPr="0023049D" w:rsidRDefault="005E691D" w:rsidP="0057715B">
            <w:pPr>
              <w:pStyle w:val="TableText"/>
              <w:rPr>
                <w:lang w:eastAsia="en-GB"/>
              </w:rPr>
            </w:pPr>
            <w:r w:rsidRPr="0023049D">
              <w:rPr>
                <w:lang w:eastAsia="en-GB"/>
              </w:rPr>
              <w:t>Acceptable</w:t>
            </w:r>
          </w:p>
        </w:tc>
        <w:tc>
          <w:tcPr>
            <w:tcW w:w="1135" w:type="dxa"/>
            <w:shd w:val="clear" w:color="auto" w:fill="auto"/>
          </w:tcPr>
          <w:p w:rsidR="009E3385" w:rsidRPr="0023049D" w:rsidRDefault="005E691D" w:rsidP="0057715B">
            <w:pPr>
              <w:pStyle w:val="TableText"/>
              <w:rPr>
                <w:lang w:eastAsia="en-GB"/>
              </w:rPr>
            </w:pPr>
            <w:r w:rsidRPr="0023049D">
              <w:rPr>
                <w:lang w:eastAsia="en-GB"/>
              </w:rPr>
              <w:t>Unacceptable</w:t>
            </w:r>
          </w:p>
        </w:tc>
      </w:tr>
      <w:tr w:rsidR="009E3385" w:rsidRPr="0023049D" w:rsidTr="00D81522">
        <w:trPr>
          <w:cantSplit/>
        </w:trPr>
        <w:tc>
          <w:tcPr>
            <w:tcW w:w="2410" w:type="dxa"/>
            <w:shd w:val="clear" w:color="auto" w:fill="auto"/>
          </w:tcPr>
          <w:p w:rsidR="009E3385" w:rsidRPr="0023049D" w:rsidRDefault="009E3385" w:rsidP="0057715B">
            <w:pPr>
              <w:pStyle w:val="TableText"/>
            </w:pPr>
            <w:r w:rsidRPr="0023049D">
              <w:t>Three-phase refrigerated containers</w:t>
            </w:r>
          </w:p>
        </w:tc>
        <w:tc>
          <w:tcPr>
            <w:tcW w:w="992" w:type="dxa"/>
            <w:shd w:val="clear" w:color="auto" w:fill="auto"/>
          </w:tcPr>
          <w:p w:rsidR="009E3385" w:rsidRPr="0023049D" w:rsidRDefault="009E3385" w:rsidP="0057715B">
            <w:pPr>
              <w:pStyle w:val="TableText"/>
              <w:jc w:val="center"/>
              <w:rPr>
                <w:lang w:eastAsia="en-GB"/>
              </w:rPr>
            </w:pPr>
            <w:r w:rsidRPr="0023049D">
              <w:rPr>
                <w:lang w:eastAsia="en-GB"/>
              </w:rPr>
              <w:t>5.5</w:t>
            </w:r>
          </w:p>
        </w:tc>
        <w:tc>
          <w:tcPr>
            <w:tcW w:w="1134" w:type="dxa"/>
            <w:shd w:val="clear" w:color="auto" w:fill="auto"/>
          </w:tcPr>
          <w:p w:rsidR="009E3385" w:rsidRPr="0023049D" w:rsidRDefault="009E3385" w:rsidP="0057715B">
            <w:pPr>
              <w:pStyle w:val="TableText"/>
              <w:jc w:val="center"/>
              <w:rPr>
                <w:lang w:eastAsia="en-GB"/>
              </w:rPr>
            </w:pPr>
            <w:r w:rsidRPr="0023049D">
              <w:rPr>
                <w:lang w:eastAsia="en-GB"/>
              </w:rPr>
              <w:t>25%</w:t>
            </w:r>
          </w:p>
        </w:tc>
        <w:tc>
          <w:tcPr>
            <w:tcW w:w="1133" w:type="dxa"/>
            <w:shd w:val="clear" w:color="auto" w:fill="auto"/>
          </w:tcPr>
          <w:p w:rsidR="009E3385" w:rsidRPr="0023049D" w:rsidRDefault="009E3385" w:rsidP="0057715B">
            <w:pPr>
              <w:pStyle w:val="TableText"/>
              <w:jc w:val="center"/>
              <w:rPr>
                <w:lang w:eastAsia="en-GB"/>
              </w:rPr>
            </w:pPr>
            <w:r w:rsidRPr="0023049D">
              <w:rPr>
                <w:lang w:eastAsia="en-GB"/>
              </w:rPr>
              <w:t>0.5%</w:t>
            </w:r>
          </w:p>
        </w:tc>
        <w:tc>
          <w:tcPr>
            <w:tcW w:w="1276" w:type="dxa"/>
            <w:shd w:val="clear" w:color="auto" w:fill="auto"/>
          </w:tcPr>
          <w:p w:rsidR="009E3385" w:rsidRPr="0023049D" w:rsidRDefault="005E691D" w:rsidP="0057715B">
            <w:pPr>
              <w:pStyle w:val="TableText"/>
              <w:rPr>
                <w:lang w:eastAsia="en-GB"/>
              </w:rPr>
            </w:pPr>
            <w:r w:rsidRPr="0023049D">
              <w:rPr>
                <w:lang w:eastAsia="en-GB"/>
              </w:rPr>
              <w:t>Recommended</w:t>
            </w:r>
          </w:p>
        </w:tc>
        <w:tc>
          <w:tcPr>
            <w:tcW w:w="1276" w:type="dxa"/>
            <w:shd w:val="clear" w:color="auto" w:fill="auto"/>
          </w:tcPr>
          <w:p w:rsidR="009E3385" w:rsidRPr="0023049D" w:rsidRDefault="005E691D" w:rsidP="0057715B">
            <w:pPr>
              <w:pStyle w:val="TableText"/>
              <w:rPr>
                <w:lang w:eastAsia="en-GB"/>
              </w:rPr>
            </w:pPr>
            <w:r w:rsidRPr="0023049D">
              <w:rPr>
                <w:lang w:eastAsia="en-GB"/>
              </w:rPr>
              <w:t>Acceptable</w:t>
            </w:r>
          </w:p>
        </w:tc>
        <w:tc>
          <w:tcPr>
            <w:tcW w:w="1135" w:type="dxa"/>
            <w:shd w:val="clear" w:color="auto" w:fill="auto"/>
          </w:tcPr>
          <w:p w:rsidR="009E3385" w:rsidRPr="0023049D" w:rsidRDefault="005E691D" w:rsidP="0057715B">
            <w:pPr>
              <w:pStyle w:val="TableText"/>
              <w:rPr>
                <w:lang w:eastAsia="en-GB"/>
              </w:rPr>
            </w:pPr>
            <w:r w:rsidRPr="0023049D">
              <w:rPr>
                <w:lang w:eastAsia="en-GB"/>
              </w:rPr>
              <w:t>Unacceptable</w:t>
            </w:r>
          </w:p>
        </w:tc>
      </w:tr>
      <w:tr w:rsidR="009E3385" w:rsidRPr="0023049D" w:rsidTr="00D81522">
        <w:trPr>
          <w:cantSplit/>
        </w:trPr>
        <w:tc>
          <w:tcPr>
            <w:tcW w:w="2410" w:type="dxa"/>
            <w:shd w:val="clear" w:color="auto" w:fill="auto"/>
          </w:tcPr>
          <w:p w:rsidR="009E3385" w:rsidRPr="0023049D" w:rsidRDefault="009E3385" w:rsidP="0057715B">
            <w:pPr>
              <w:pStyle w:val="TableText"/>
            </w:pPr>
            <w:r w:rsidRPr="0023049D">
              <w:t>Single-phase refrigerated containers</w:t>
            </w:r>
          </w:p>
        </w:tc>
        <w:tc>
          <w:tcPr>
            <w:tcW w:w="992" w:type="dxa"/>
            <w:shd w:val="clear" w:color="auto" w:fill="auto"/>
          </w:tcPr>
          <w:p w:rsidR="009E3385" w:rsidRPr="0023049D" w:rsidRDefault="009E3385" w:rsidP="0057715B">
            <w:pPr>
              <w:pStyle w:val="TableText"/>
              <w:jc w:val="center"/>
              <w:rPr>
                <w:lang w:eastAsia="en-GB"/>
              </w:rPr>
            </w:pPr>
            <w:r w:rsidRPr="0023049D">
              <w:rPr>
                <w:lang w:eastAsia="en-GB"/>
              </w:rPr>
              <w:t>3</w:t>
            </w:r>
          </w:p>
        </w:tc>
        <w:tc>
          <w:tcPr>
            <w:tcW w:w="1134" w:type="dxa"/>
            <w:shd w:val="clear" w:color="auto" w:fill="auto"/>
          </w:tcPr>
          <w:p w:rsidR="009E3385" w:rsidRPr="0023049D" w:rsidRDefault="009E3385" w:rsidP="0057715B">
            <w:pPr>
              <w:pStyle w:val="TableText"/>
              <w:jc w:val="center"/>
              <w:rPr>
                <w:lang w:eastAsia="en-GB"/>
              </w:rPr>
            </w:pPr>
            <w:r w:rsidRPr="0023049D">
              <w:rPr>
                <w:lang w:eastAsia="en-GB"/>
              </w:rPr>
              <w:t>25%</w:t>
            </w:r>
          </w:p>
        </w:tc>
        <w:tc>
          <w:tcPr>
            <w:tcW w:w="1133" w:type="dxa"/>
            <w:shd w:val="clear" w:color="auto" w:fill="auto"/>
          </w:tcPr>
          <w:p w:rsidR="009E3385" w:rsidRPr="0023049D" w:rsidRDefault="009E3385" w:rsidP="0057715B">
            <w:pPr>
              <w:pStyle w:val="TableText"/>
              <w:jc w:val="center"/>
              <w:rPr>
                <w:lang w:eastAsia="en-GB"/>
              </w:rPr>
            </w:pPr>
            <w:r w:rsidRPr="0023049D">
              <w:rPr>
                <w:lang w:eastAsia="en-GB"/>
              </w:rPr>
              <w:t>0.5%</w:t>
            </w:r>
          </w:p>
        </w:tc>
        <w:tc>
          <w:tcPr>
            <w:tcW w:w="1276" w:type="dxa"/>
            <w:shd w:val="clear" w:color="auto" w:fill="auto"/>
          </w:tcPr>
          <w:p w:rsidR="009E3385" w:rsidRPr="0023049D" w:rsidRDefault="005E691D" w:rsidP="0057715B">
            <w:pPr>
              <w:pStyle w:val="TableText"/>
              <w:rPr>
                <w:lang w:eastAsia="en-GB"/>
              </w:rPr>
            </w:pPr>
            <w:r w:rsidRPr="0023049D">
              <w:rPr>
                <w:lang w:eastAsia="en-GB"/>
              </w:rPr>
              <w:t>Rec</w:t>
            </w:r>
            <w:r w:rsidR="009E3385" w:rsidRPr="0023049D">
              <w:rPr>
                <w:lang w:eastAsia="en-GB"/>
              </w:rPr>
              <w:t>ommended</w:t>
            </w:r>
          </w:p>
        </w:tc>
        <w:tc>
          <w:tcPr>
            <w:tcW w:w="1276" w:type="dxa"/>
            <w:shd w:val="clear" w:color="auto" w:fill="auto"/>
          </w:tcPr>
          <w:p w:rsidR="009E3385" w:rsidRPr="0023049D" w:rsidRDefault="005E691D" w:rsidP="0057715B">
            <w:pPr>
              <w:pStyle w:val="TableText"/>
              <w:rPr>
                <w:lang w:eastAsia="en-GB"/>
              </w:rPr>
            </w:pPr>
            <w:r w:rsidRPr="0023049D">
              <w:rPr>
                <w:lang w:eastAsia="en-GB"/>
              </w:rPr>
              <w:t>Acceptable</w:t>
            </w:r>
          </w:p>
        </w:tc>
        <w:tc>
          <w:tcPr>
            <w:tcW w:w="1135" w:type="dxa"/>
            <w:shd w:val="clear" w:color="auto" w:fill="auto"/>
          </w:tcPr>
          <w:p w:rsidR="009E3385" w:rsidRPr="0023049D" w:rsidRDefault="005E691D" w:rsidP="0057715B">
            <w:pPr>
              <w:pStyle w:val="TableText"/>
              <w:rPr>
                <w:lang w:eastAsia="en-GB"/>
              </w:rPr>
            </w:pPr>
            <w:r w:rsidRPr="0023049D">
              <w:rPr>
                <w:lang w:eastAsia="en-GB"/>
              </w:rPr>
              <w:t>Unacceptable</w:t>
            </w:r>
          </w:p>
        </w:tc>
      </w:tr>
      <w:tr w:rsidR="009E3385" w:rsidRPr="0023049D" w:rsidTr="00D81522">
        <w:trPr>
          <w:cantSplit/>
        </w:trPr>
        <w:tc>
          <w:tcPr>
            <w:tcW w:w="2410" w:type="dxa"/>
            <w:shd w:val="clear" w:color="auto" w:fill="auto"/>
          </w:tcPr>
          <w:p w:rsidR="009E3385" w:rsidRPr="0023049D" w:rsidRDefault="009E3385" w:rsidP="0057715B">
            <w:pPr>
              <w:pStyle w:val="TableText"/>
            </w:pPr>
            <w:r w:rsidRPr="0023049D">
              <w:t xml:space="preserve">Centralised commercial refrigeration </w:t>
            </w:r>
            <w:proofErr w:type="spellStart"/>
            <w:r w:rsidRPr="0023049D">
              <w:t>e</w:t>
            </w:r>
            <w:r>
              <w:t>g</w:t>
            </w:r>
            <w:proofErr w:type="spellEnd"/>
            <w:r>
              <w:t>,</w:t>
            </w:r>
            <w:r w:rsidRPr="0023049D">
              <w:t xml:space="preserve"> supermarkets</w:t>
            </w:r>
          </w:p>
        </w:tc>
        <w:tc>
          <w:tcPr>
            <w:tcW w:w="992" w:type="dxa"/>
            <w:shd w:val="clear" w:color="auto" w:fill="auto"/>
          </w:tcPr>
          <w:p w:rsidR="009E3385" w:rsidRPr="0023049D" w:rsidRDefault="005E691D" w:rsidP="0057715B">
            <w:pPr>
              <w:pStyle w:val="TableText"/>
              <w:rPr>
                <w:lang w:eastAsia="en-GB"/>
              </w:rPr>
            </w:pPr>
            <w:r w:rsidRPr="0023049D">
              <w:rPr>
                <w:lang w:eastAsia="en-GB"/>
              </w:rPr>
              <w:t>Wide range</w:t>
            </w:r>
          </w:p>
        </w:tc>
        <w:tc>
          <w:tcPr>
            <w:tcW w:w="1134" w:type="dxa"/>
            <w:shd w:val="clear" w:color="auto" w:fill="auto"/>
          </w:tcPr>
          <w:p w:rsidR="009E3385" w:rsidRPr="0023049D" w:rsidRDefault="005E691D" w:rsidP="0057715B">
            <w:pPr>
              <w:pStyle w:val="TableText"/>
              <w:rPr>
                <w:lang w:eastAsia="en-GB"/>
              </w:rPr>
            </w:pPr>
            <w:r w:rsidRPr="0023049D">
              <w:rPr>
                <w:lang w:eastAsia="en-GB"/>
              </w:rPr>
              <w:t>Wide range</w:t>
            </w:r>
          </w:p>
        </w:tc>
        <w:tc>
          <w:tcPr>
            <w:tcW w:w="1133" w:type="dxa"/>
            <w:shd w:val="clear" w:color="auto" w:fill="auto"/>
          </w:tcPr>
          <w:p w:rsidR="009E3385" w:rsidRPr="0023049D" w:rsidRDefault="005E691D" w:rsidP="0057715B">
            <w:pPr>
              <w:pStyle w:val="TableText"/>
              <w:rPr>
                <w:lang w:eastAsia="en-GB"/>
              </w:rPr>
            </w:pPr>
            <w:r w:rsidRPr="0023049D">
              <w:rPr>
                <w:lang w:eastAsia="en-GB"/>
              </w:rPr>
              <w:t>Wide range</w:t>
            </w:r>
          </w:p>
        </w:tc>
        <w:tc>
          <w:tcPr>
            <w:tcW w:w="1276" w:type="dxa"/>
            <w:shd w:val="clear" w:color="auto" w:fill="auto"/>
          </w:tcPr>
          <w:p w:rsidR="009E3385" w:rsidRPr="0023049D" w:rsidRDefault="005E691D" w:rsidP="0057715B">
            <w:pPr>
              <w:pStyle w:val="TableText"/>
              <w:rPr>
                <w:lang w:eastAsia="en-GB"/>
              </w:rPr>
            </w:pPr>
            <w:r w:rsidRPr="0023049D">
              <w:rPr>
                <w:lang w:eastAsia="en-GB"/>
              </w:rPr>
              <w:t>Recommended</w:t>
            </w:r>
          </w:p>
        </w:tc>
        <w:tc>
          <w:tcPr>
            <w:tcW w:w="1276" w:type="dxa"/>
            <w:shd w:val="clear" w:color="auto" w:fill="auto"/>
          </w:tcPr>
          <w:p w:rsidR="009E3385" w:rsidRPr="0023049D" w:rsidRDefault="005E691D" w:rsidP="0057715B">
            <w:pPr>
              <w:pStyle w:val="TableText"/>
              <w:rPr>
                <w:lang w:eastAsia="en-GB"/>
              </w:rPr>
            </w:pPr>
            <w:r w:rsidRPr="0023049D">
              <w:rPr>
                <w:lang w:eastAsia="en-GB"/>
              </w:rPr>
              <w:t>Unacceptable</w:t>
            </w:r>
          </w:p>
        </w:tc>
        <w:tc>
          <w:tcPr>
            <w:tcW w:w="1135" w:type="dxa"/>
            <w:shd w:val="clear" w:color="auto" w:fill="auto"/>
          </w:tcPr>
          <w:p w:rsidR="009E3385" w:rsidRPr="0023049D" w:rsidRDefault="005E691D" w:rsidP="0057715B">
            <w:pPr>
              <w:pStyle w:val="TableText"/>
              <w:rPr>
                <w:lang w:eastAsia="en-GB"/>
              </w:rPr>
            </w:pPr>
            <w:r w:rsidRPr="0023049D">
              <w:rPr>
                <w:lang w:eastAsia="en-GB"/>
              </w:rPr>
              <w:t>Unacceptable</w:t>
            </w:r>
          </w:p>
        </w:tc>
      </w:tr>
      <w:tr w:rsidR="009E3385" w:rsidRPr="0023049D" w:rsidTr="00D81522">
        <w:trPr>
          <w:cantSplit/>
        </w:trPr>
        <w:tc>
          <w:tcPr>
            <w:tcW w:w="2410" w:type="dxa"/>
            <w:shd w:val="clear" w:color="auto" w:fill="auto"/>
          </w:tcPr>
          <w:p w:rsidR="009E3385" w:rsidRPr="0023049D" w:rsidRDefault="009E3385" w:rsidP="0057715B">
            <w:pPr>
              <w:pStyle w:val="TableText"/>
            </w:pPr>
            <w:r w:rsidRPr="0023049D">
              <w:t xml:space="preserve">Industrial and commercial </w:t>
            </w:r>
            <w:r w:rsidR="00E93713" w:rsidRPr="0023049D">
              <w:t>cool stores</w:t>
            </w:r>
          </w:p>
        </w:tc>
        <w:tc>
          <w:tcPr>
            <w:tcW w:w="992" w:type="dxa"/>
            <w:shd w:val="clear" w:color="auto" w:fill="auto"/>
          </w:tcPr>
          <w:p w:rsidR="009E3385" w:rsidRPr="0023049D" w:rsidRDefault="005E691D" w:rsidP="0057715B">
            <w:pPr>
              <w:pStyle w:val="TableText"/>
              <w:rPr>
                <w:lang w:eastAsia="en-GB"/>
              </w:rPr>
            </w:pPr>
            <w:r w:rsidRPr="0023049D">
              <w:rPr>
                <w:lang w:eastAsia="en-GB"/>
              </w:rPr>
              <w:t>Wide range</w:t>
            </w:r>
          </w:p>
        </w:tc>
        <w:tc>
          <w:tcPr>
            <w:tcW w:w="1134" w:type="dxa"/>
            <w:shd w:val="clear" w:color="auto" w:fill="auto"/>
          </w:tcPr>
          <w:p w:rsidR="009E3385" w:rsidRPr="0023049D" w:rsidRDefault="005E691D" w:rsidP="0057715B">
            <w:pPr>
              <w:pStyle w:val="TableText"/>
              <w:rPr>
                <w:lang w:eastAsia="en-GB"/>
              </w:rPr>
            </w:pPr>
            <w:r w:rsidRPr="0023049D">
              <w:rPr>
                <w:lang w:eastAsia="en-GB"/>
              </w:rPr>
              <w:t>Wide range</w:t>
            </w:r>
          </w:p>
        </w:tc>
        <w:tc>
          <w:tcPr>
            <w:tcW w:w="1133" w:type="dxa"/>
            <w:shd w:val="clear" w:color="auto" w:fill="auto"/>
          </w:tcPr>
          <w:p w:rsidR="009E3385" w:rsidRPr="0023049D" w:rsidRDefault="005E691D" w:rsidP="0057715B">
            <w:pPr>
              <w:pStyle w:val="TableText"/>
              <w:rPr>
                <w:lang w:eastAsia="en-GB"/>
              </w:rPr>
            </w:pPr>
            <w:r w:rsidRPr="0023049D">
              <w:rPr>
                <w:lang w:eastAsia="en-GB"/>
              </w:rPr>
              <w:t>Wide range</w:t>
            </w:r>
          </w:p>
        </w:tc>
        <w:tc>
          <w:tcPr>
            <w:tcW w:w="1276" w:type="dxa"/>
            <w:shd w:val="clear" w:color="auto" w:fill="auto"/>
          </w:tcPr>
          <w:p w:rsidR="009E3385" w:rsidRPr="0023049D" w:rsidRDefault="005E691D" w:rsidP="0057715B">
            <w:pPr>
              <w:pStyle w:val="TableText"/>
              <w:rPr>
                <w:lang w:eastAsia="en-GB"/>
              </w:rPr>
            </w:pPr>
            <w:r w:rsidRPr="0023049D">
              <w:rPr>
                <w:lang w:eastAsia="en-GB"/>
              </w:rPr>
              <w:t>Recommended</w:t>
            </w:r>
          </w:p>
        </w:tc>
        <w:tc>
          <w:tcPr>
            <w:tcW w:w="1276" w:type="dxa"/>
            <w:shd w:val="clear" w:color="auto" w:fill="auto"/>
          </w:tcPr>
          <w:p w:rsidR="009E3385" w:rsidRPr="0023049D" w:rsidRDefault="005E691D" w:rsidP="0057715B">
            <w:pPr>
              <w:pStyle w:val="TableText"/>
              <w:rPr>
                <w:lang w:eastAsia="en-GB"/>
              </w:rPr>
            </w:pPr>
            <w:r w:rsidRPr="0023049D">
              <w:rPr>
                <w:lang w:eastAsia="en-GB"/>
              </w:rPr>
              <w:t>Un</w:t>
            </w:r>
            <w:r w:rsidR="009E3385" w:rsidRPr="0023049D">
              <w:rPr>
                <w:lang w:eastAsia="en-GB"/>
              </w:rPr>
              <w:t>acceptable</w:t>
            </w:r>
          </w:p>
        </w:tc>
        <w:tc>
          <w:tcPr>
            <w:tcW w:w="1135" w:type="dxa"/>
            <w:shd w:val="clear" w:color="auto" w:fill="auto"/>
          </w:tcPr>
          <w:p w:rsidR="009E3385" w:rsidRPr="0023049D" w:rsidRDefault="005E691D" w:rsidP="0057715B">
            <w:pPr>
              <w:pStyle w:val="TableText"/>
              <w:rPr>
                <w:lang w:eastAsia="en-GB"/>
              </w:rPr>
            </w:pPr>
            <w:r w:rsidRPr="0023049D">
              <w:rPr>
                <w:lang w:eastAsia="en-GB"/>
              </w:rPr>
              <w:t>Unacceptable</w:t>
            </w:r>
          </w:p>
        </w:tc>
      </w:tr>
    </w:tbl>
    <w:p w:rsidR="009E3385" w:rsidRDefault="009E3385" w:rsidP="00564888"/>
    <w:p w:rsidR="009E3385" w:rsidRDefault="009E3385" w:rsidP="00564888">
      <w:pPr>
        <w:pStyle w:val="Table"/>
      </w:pPr>
      <w:bookmarkStart w:id="250" w:name="_Ref208388102"/>
      <w:bookmarkStart w:id="251" w:name="_Toc289084094"/>
      <w:bookmarkStart w:id="252" w:name="_Toc469577152"/>
      <w:r w:rsidRPr="003A7ED3">
        <w:t xml:space="preserve">Table </w:t>
      </w:r>
      <w:bookmarkEnd w:id="250"/>
      <w:r w:rsidR="00A666F0">
        <w:t>1</w:t>
      </w:r>
      <w:r w:rsidR="004117B6">
        <w:t>4</w:t>
      </w:r>
      <w:r w:rsidRPr="003A7ED3">
        <w:t>:</w:t>
      </w:r>
      <w:r w:rsidRPr="003A7ED3">
        <w:tab/>
        <w:t>Detailed 100</w:t>
      </w:r>
      <w:r>
        <w:t>-</w:t>
      </w:r>
      <w:r w:rsidRPr="003A7ED3">
        <w:t xml:space="preserve">year </w:t>
      </w:r>
      <w:r>
        <w:t>g</w:t>
      </w:r>
      <w:r w:rsidRPr="003A7ED3">
        <w:t xml:space="preserve">lobal </w:t>
      </w:r>
      <w:r>
        <w:t>w</w:t>
      </w:r>
      <w:r w:rsidRPr="003A7ED3">
        <w:t xml:space="preserve">arming </w:t>
      </w:r>
      <w:r>
        <w:t>p</w:t>
      </w:r>
      <w:r w:rsidRPr="003A7ED3">
        <w:t>otentials for various refrigerant mixtures</w:t>
      </w:r>
      <w:r w:rsidRPr="003A7ED3">
        <w:rPr>
          <w:vertAlign w:val="superscript"/>
        </w:rPr>
        <w:footnoteReference w:id="22"/>
      </w:r>
      <w:bookmarkEnd w:id="251"/>
      <w:bookmarkEnd w:id="252"/>
    </w:p>
    <w:tbl>
      <w:tblPr>
        <w:tblW w:w="850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3022"/>
        <w:gridCol w:w="613"/>
        <w:gridCol w:w="597"/>
        <w:gridCol w:w="615"/>
        <w:gridCol w:w="615"/>
        <w:gridCol w:w="597"/>
        <w:gridCol w:w="597"/>
        <w:gridCol w:w="595"/>
        <w:gridCol w:w="623"/>
        <w:gridCol w:w="631"/>
      </w:tblGrid>
      <w:tr w:rsidR="00346186" w:rsidRPr="00564888" w:rsidTr="00285D6C">
        <w:trPr>
          <w:cantSplit/>
        </w:trPr>
        <w:tc>
          <w:tcPr>
            <w:tcW w:w="3686" w:type="dxa"/>
            <w:shd w:val="clear" w:color="auto" w:fill="D9D9D9"/>
            <w:vAlign w:val="bottom"/>
          </w:tcPr>
          <w:p w:rsidR="00346186" w:rsidRPr="00564888" w:rsidRDefault="00346186" w:rsidP="0057715B">
            <w:pPr>
              <w:pStyle w:val="TableText"/>
              <w:rPr>
                <w:b/>
                <w:snapToGrid w:val="0"/>
              </w:rPr>
            </w:pPr>
            <w:r w:rsidRPr="00564888">
              <w:rPr>
                <w:b/>
                <w:snapToGrid w:val="0"/>
              </w:rPr>
              <w:t>Refrigerant type (trade name)</w:t>
            </w:r>
          </w:p>
        </w:tc>
        <w:tc>
          <w:tcPr>
            <w:tcW w:w="630" w:type="dxa"/>
            <w:shd w:val="clear" w:color="auto" w:fill="D9D9D9"/>
            <w:vAlign w:val="bottom"/>
          </w:tcPr>
          <w:p w:rsidR="00346186" w:rsidRPr="00564888" w:rsidRDefault="00346186" w:rsidP="0057715B">
            <w:pPr>
              <w:pStyle w:val="TableText"/>
              <w:rPr>
                <w:b/>
                <w:snapToGrid w:val="0"/>
              </w:rPr>
            </w:pPr>
            <w:r w:rsidRPr="00564888">
              <w:rPr>
                <w:b/>
                <w:snapToGrid w:val="0"/>
              </w:rPr>
              <w:t>HFC-23</w:t>
            </w:r>
          </w:p>
        </w:tc>
        <w:tc>
          <w:tcPr>
            <w:tcW w:w="630" w:type="dxa"/>
            <w:shd w:val="clear" w:color="auto" w:fill="D9D9D9"/>
            <w:vAlign w:val="bottom"/>
          </w:tcPr>
          <w:p w:rsidR="00346186" w:rsidRPr="00564888" w:rsidRDefault="00346186" w:rsidP="0057715B">
            <w:pPr>
              <w:pStyle w:val="TableText"/>
              <w:rPr>
                <w:b/>
                <w:snapToGrid w:val="0"/>
              </w:rPr>
            </w:pPr>
            <w:r w:rsidRPr="00564888">
              <w:rPr>
                <w:b/>
                <w:snapToGrid w:val="0"/>
              </w:rPr>
              <w:t>HFC-32</w:t>
            </w:r>
          </w:p>
        </w:tc>
        <w:tc>
          <w:tcPr>
            <w:tcW w:w="630" w:type="dxa"/>
            <w:shd w:val="clear" w:color="auto" w:fill="D9D9D9"/>
            <w:vAlign w:val="bottom"/>
          </w:tcPr>
          <w:p w:rsidR="00346186" w:rsidRPr="00564888" w:rsidRDefault="00346186" w:rsidP="0057715B">
            <w:pPr>
              <w:pStyle w:val="TableText"/>
              <w:rPr>
                <w:b/>
                <w:snapToGrid w:val="0"/>
              </w:rPr>
            </w:pPr>
            <w:r w:rsidRPr="00564888">
              <w:rPr>
                <w:b/>
                <w:snapToGrid w:val="0"/>
              </w:rPr>
              <w:t>HFC-125</w:t>
            </w:r>
          </w:p>
        </w:tc>
        <w:tc>
          <w:tcPr>
            <w:tcW w:w="630" w:type="dxa"/>
            <w:shd w:val="clear" w:color="auto" w:fill="D9D9D9"/>
            <w:vAlign w:val="bottom"/>
          </w:tcPr>
          <w:p w:rsidR="00346186" w:rsidRPr="00564888" w:rsidRDefault="00346186" w:rsidP="0057715B">
            <w:pPr>
              <w:pStyle w:val="TableText"/>
              <w:rPr>
                <w:b/>
                <w:snapToGrid w:val="0"/>
              </w:rPr>
            </w:pPr>
            <w:r w:rsidRPr="00564888">
              <w:rPr>
                <w:b/>
                <w:snapToGrid w:val="0"/>
              </w:rPr>
              <w:t>HFC-134a</w:t>
            </w:r>
          </w:p>
        </w:tc>
        <w:tc>
          <w:tcPr>
            <w:tcW w:w="630" w:type="dxa"/>
            <w:shd w:val="clear" w:color="auto" w:fill="D9D9D9"/>
            <w:vAlign w:val="bottom"/>
          </w:tcPr>
          <w:p w:rsidR="00346186" w:rsidRPr="00564888" w:rsidRDefault="00346186" w:rsidP="0057715B">
            <w:pPr>
              <w:pStyle w:val="TableText"/>
              <w:rPr>
                <w:b/>
                <w:snapToGrid w:val="0"/>
              </w:rPr>
            </w:pPr>
            <w:r w:rsidRPr="00564888">
              <w:rPr>
                <w:b/>
                <w:snapToGrid w:val="0"/>
              </w:rPr>
              <w:t>HFC-143a</w:t>
            </w:r>
          </w:p>
        </w:tc>
        <w:tc>
          <w:tcPr>
            <w:tcW w:w="630" w:type="dxa"/>
            <w:shd w:val="clear" w:color="auto" w:fill="D9D9D9"/>
            <w:vAlign w:val="bottom"/>
          </w:tcPr>
          <w:p w:rsidR="00346186" w:rsidRPr="00564888" w:rsidRDefault="00346186" w:rsidP="0057715B">
            <w:pPr>
              <w:pStyle w:val="TableText"/>
              <w:rPr>
                <w:b/>
                <w:snapToGrid w:val="0"/>
              </w:rPr>
            </w:pPr>
            <w:r w:rsidRPr="00564888">
              <w:rPr>
                <w:b/>
                <w:snapToGrid w:val="0"/>
              </w:rPr>
              <w:t>HFC-152a</w:t>
            </w:r>
          </w:p>
        </w:tc>
        <w:tc>
          <w:tcPr>
            <w:tcW w:w="630" w:type="dxa"/>
            <w:shd w:val="clear" w:color="auto" w:fill="D9D9D9"/>
            <w:vAlign w:val="bottom"/>
          </w:tcPr>
          <w:p w:rsidR="00346186" w:rsidRPr="00564888" w:rsidRDefault="00346186" w:rsidP="0057715B">
            <w:pPr>
              <w:pStyle w:val="TableText"/>
              <w:rPr>
                <w:b/>
                <w:snapToGrid w:val="0"/>
              </w:rPr>
            </w:pPr>
            <w:r w:rsidRPr="00564888">
              <w:rPr>
                <w:b/>
                <w:snapToGrid w:val="0"/>
              </w:rPr>
              <w:t>PFC-218</w:t>
            </w:r>
          </w:p>
        </w:tc>
        <w:tc>
          <w:tcPr>
            <w:tcW w:w="630" w:type="dxa"/>
            <w:shd w:val="clear" w:color="auto" w:fill="D9D9D9"/>
            <w:vAlign w:val="bottom"/>
          </w:tcPr>
          <w:p w:rsidR="00346186" w:rsidRPr="00564888" w:rsidRDefault="00346186" w:rsidP="0057715B">
            <w:pPr>
              <w:pStyle w:val="TableText"/>
              <w:rPr>
                <w:b/>
                <w:snapToGrid w:val="0"/>
              </w:rPr>
            </w:pPr>
            <w:r w:rsidRPr="00564888">
              <w:rPr>
                <w:b/>
                <w:snapToGrid w:val="0"/>
              </w:rPr>
              <w:t>Other*</w:t>
            </w:r>
          </w:p>
        </w:tc>
        <w:tc>
          <w:tcPr>
            <w:tcW w:w="630" w:type="dxa"/>
            <w:shd w:val="clear" w:color="auto" w:fill="D9D9D9"/>
            <w:vAlign w:val="bottom"/>
          </w:tcPr>
          <w:p w:rsidR="00346186" w:rsidRPr="00564888" w:rsidRDefault="00346186" w:rsidP="0057715B">
            <w:pPr>
              <w:pStyle w:val="TableText"/>
              <w:rPr>
                <w:b/>
                <w:snapToGrid w:val="0"/>
              </w:rPr>
            </w:pPr>
            <w:r w:rsidRPr="00564888">
              <w:rPr>
                <w:b/>
                <w:snapToGrid w:val="0"/>
              </w:rPr>
              <w:t>Total GWP</w:t>
            </w:r>
          </w:p>
        </w:tc>
      </w:tr>
      <w:tr w:rsidR="00346186" w:rsidRPr="00EC1311" w:rsidTr="00285D6C">
        <w:trPr>
          <w:cantSplit/>
        </w:trPr>
        <w:tc>
          <w:tcPr>
            <w:tcW w:w="3686" w:type="dxa"/>
            <w:shd w:val="clear" w:color="auto" w:fill="auto"/>
          </w:tcPr>
          <w:p w:rsidR="00346186" w:rsidRPr="00EC1311" w:rsidRDefault="00346186" w:rsidP="0057715B">
            <w:pPr>
              <w:pStyle w:val="TableText"/>
              <w:rPr>
                <w:snapToGrid w:val="0"/>
              </w:rPr>
            </w:pPr>
            <w:r w:rsidRPr="00EC1311">
              <w:rPr>
                <w:snapToGrid w:val="0"/>
              </w:rPr>
              <w:t xml:space="preserve">GWP 100yr </w:t>
            </w:r>
            <w:r>
              <w:rPr>
                <w:snapToGrid w:val="0"/>
              </w:rPr>
              <w:t xml:space="preserve">(IPCC, 2007) </w:t>
            </w:r>
          </w:p>
        </w:tc>
        <w:tc>
          <w:tcPr>
            <w:tcW w:w="630" w:type="dxa"/>
            <w:shd w:val="clear" w:color="auto" w:fill="auto"/>
          </w:tcPr>
          <w:p w:rsidR="00346186" w:rsidRPr="00EC1311" w:rsidRDefault="00346186" w:rsidP="0057715B">
            <w:pPr>
              <w:pStyle w:val="TableText"/>
              <w:jc w:val="right"/>
              <w:rPr>
                <w:snapToGrid w:val="0"/>
              </w:rPr>
            </w:pPr>
            <w:r>
              <w:rPr>
                <w:snapToGrid w:val="0"/>
              </w:rPr>
              <w:t>14800</w:t>
            </w:r>
          </w:p>
        </w:tc>
        <w:tc>
          <w:tcPr>
            <w:tcW w:w="630" w:type="dxa"/>
            <w:shd w:val="clear" w:color="auto" w:fill="auto"/>
          </w:tcPr>
          <w:p w:rsidR="00346186" w:rsidRPr="00EC1311" w:rsidRDefault="00346186" w:rsidP="0057715B">
            <w:pPr>
              <w:pStyle w:val="TableText"/>
              <w:jc w:val="right"/>
              <w:rPr>
                <w:snapToGrid w:val="0"/>
              </w:rPr>
            </w:pPr>
            <w:r>
              <w:rPr>
                <w:snapToGrid w:val="0"/>
              </w:rPr>
              <w:t>675</w:t>
            </w:r>
          </w:p>
        </w:tc>
        <w:tc>
          <w:tcPr>
            <w:tcW w:w="630" w:type="dxa"/>
            <w:shd w:val="clear" w:color="auto" w:fill="auto"/>
          </w:tcPr>
          <w:p w:rsidR="00346186" w:rsidRPr="00EC1311" w:rsidRDefault="00346186" w:rsidP="0057715B">
            <w:pPr>
              <w:pStyle w:val="TableText"/>
              <w:jc w:val="right"/>
              <w:rPr>
                <w:snapToGrid w:val="0"/>
              </w:rPr>
            </w:pPr>
            <w:r>
              <w:rPr>
                <w:snapToGrid w:val="0"/>
              </w:rPr>
              <w:t>3500</w:t>
            </w:r>
          </w:p>
        </w:tc>
        <w:tc>
          <w:tcPr>
            <w:tcW w:w="630" w:type="dxa"/>
            <w:shd w:val="clear" w:color="auto" w:fill="auto"/>
          </w:tcPr>
          <w:p w:rsidR="00346186" w:rsidRPr="00EC1311" w:rsidRDefault="00346186" w:rsidP="0057715B">
            <w:pPr>
              <w:pStyle w:val="TableText"/>
              <w:jc w:val="right"/>
              <w:rPr>
                <w:snapToGrid w:val="0"/>
              </w:rPr>
            </w:pPr>
            <w:r>
              <w:rPr>
                <w:snapToGrid w:val="0"/>
              </w:rPr>
              <w:t>1430</w:t>
            </w:r>
          </w:p>
        </w:tc>
        <w:tc>
          <w:tcPr>
            <w:tcW w:w="630" w:type="dxa"/>
            <w:shd w:val="clear" w:color="auto" w:fill="auto"/>
          </w:tcPr>
          <w:p w:rsidR="00346186" w:rsidRPr="00EC1311" w:rsidRDefault="00346186" w:rsidP="0057715B">
            <w:pPr>
              <w:pStyle w:val="TableText"/>
              <w:jc w:val="right"/>
              <w:rPr>
                <w:snapToGrid w:val="0"/>
              </w:rPr>
            </w:pPr>
            <w:r>
              <w:rPr>
                <w:snapToGrid w:val="0"/>
              </w:rPr>
              <w:t>4470</w:t>
            </w:r>
          </w:p>
        </w:tc>
        <w:tc>
          <w:tcPr>
            <w:tcW w:w="630" w:type="dxa"/>
            <w:shd w:val="clear" w:color="auto" w:fill="auto"/>
          </w:tcPr>
          <w:p w:rsidR="00346186" w:rsidRPr="00EC1311" w:rsidRDefault="00346186" w:rsidP="0057715B">
            <w:pPr>
              <w:pStyle w:val="TableText"/>
              <w:jc w:val="right"/>
              <w:rPr>
                <w:snapToGrid w:val="0"/>
              </w:rPr>
            </w:pPr>
            <w:r>
              <w:rPr>
                <w:snapToGrid w:val="0"/>
              </w:rPr>
              <w:t>124</w:t>
            </w:r>
          </w:p>
        </w:tc>
        <w:tc>
          <w:tcPr>
            <w:tcW w:w="630" w:type="dxa"/>
            <w:shd w:val="clear" w:color="auto" w:fill="auto"/>
          </w:tcPr>
          <w:p w:rsidR="00346186" w:rsidRPr="00EC1311" w:rsidRDefault="00346186" w:rsidP="0057715B">
            <w:pPr>
              <w:pStyle w:val="TableText"/>
              <w:jc w:val="right"/>
              <w:rPr>
                <w:snapToGrid w:val="0"/>
              </w:rPr>
            </w:pPr>
            <w:r>
              <w:rPr>
                <w:snapToGrid w:val="0"/>
              </w:rPr>
              <w:t>8830</w:t>
            </w:r>
          </w:p>
        </w:tc>
        <w:tc>
          <w:tcPr>
            <w:tcW w:w="630" w:type="dxa"/>
            <w:shd w:val="clear" w:color="auto" w:fill="auto"/>
          </w:tcPr>
          <w:p w:rsidR="00346186" w:rsidRPr="00EC1311" w:rsidRDefault="00346186" w:rsidP="0057715B">
            <w:pPr>
              <w:pStyle w:val="TableText"/>
              <w:jc w:val="right"/>
              <w:rPr>
                <w:snapToGrid w:val="0"/>
              </w:rPr>
            </w:pPr>
            <w:r>
              <w:rPr>
                <w:snapToGrid w:val="0"/>
              </w:rPr>
              <w:t>0</w:t>
            </w:r>
          </w:p>
        </w:tc>
        <w:tc>
          <w:tcPr>
            <w:tcW w:w="630" w:type="dxa"/>
            <w:shd w:val="clear" w:color="auto" w:fill="auto"/>
          </w:tcPr>
          <w:p w:rsidR="00346186" w:rsidRPr="00EC1311" w:rsidRDefault="00346186" w:rsidP="0057715B">
            <w:pPr>
              <w:pStyle w:val="TableText"/>
              <w:tabs>
                <w:tab w:val="decimal" w:pos="516"/>
              </w:tabs>
              <w:jc w:val="right"/>
              <w:rPr>
                <w:snapToGrid w:val="0"/>
              </w:rPr>
            </w:pPr>
          </w:p>
        </w:tc>
      </w:tr>
      <w:tr w:rsidR="00346186" w:rsidRPr="00EC1311" w:rsidTr="00285D6C">
        <w:trPr>
          <w:cantSplit/>
        </w:trPr>
        <w:tc>
          <w:tcPr>
            <w:tcW w:w="3686" w:type="dxa"/>
            <w:shd w:val="clear" w:color="auto" w:fill="auto"/>
          </w:tcPr>
          <w:p w:rsidR="00346186" w:rsidRPr="00EC1311" w:rsidRDefault="00346186" w:rsidP="0057715B">
            <w:pPr>
              <w:pStyle w:val="TableText"/>
              <w:rPr>
                <w:snapToGrid w:val="0"/>
              </w:rPr>
            </w:pPr>
            <w:r w:rsidRPr="008E2FA4">
              <w:rPr>
                <w:snapToGrid w:val="0"/>
              </w:rPr>
              <w:t>R22 (HCFC-22)</w:t>
            </w:r>
          </w:p>
        </w:tc>
        <w:tc>
          <w:tcPr>
            <w:tcW w:w="630" w:type="dxa"/>
            <w:shd w:val="clear" w:color="auto" w:fill="auto"/>
          </w:tcPr>
          <w:p w:rsidR="00346186" w:rsidRPr="00EC1311" w:rsidRDefault="00346186" w:rsidP="0057715B">
            <w:pPr>
              <w:pStyle w:val="TableText"/>
              <w:jc w:val="right"/>
              <w:rPr>
                <w:snapToGrid w:val="0"/>
              </w:rPr>
            </w:pPr>
          </w:p>
        </w:tc>
        <w:tc>
          <w:tcPr>
            <w:tcW w:w="630" w:type="dxa"/>
            <w:shd w:val="clear" w:color="auto" w:fill="auto"/>
          </w:tcPr>
          <w:p w:rsidR="00346186" w:rsidRPr="00EC1311" w:rsidRDefault="00346186" w:rsidP="0057715B">
            <w:pPr>
              <w:pStyle w:val="TableText"/>
              <w:jc w:val="right"/>
              <w:rPr>
                <w:snapToGrid w:val="0"/>
              </w:rPr>
            </w:pPr>
          </w:p>
        </w:tc>
        <w:tc>
          <w:tcPr>
            <w:tcW w:w="630" w:type="dxa"/>
            <w:shd w:val="clear" w:color="auto" w:fill="auto"/>
          </w:tcPr>
          <w:p w:rsidR="00346186" w:rsidRPr="00EC1311" w:rsidRDefault="00346186" w:rsidP="0057715B">
            <w:pPr>
              <w:pStyle w:val="TableText"/>
              <w:jc w:val="right"/>
              <w:rPr>
                <w:snapToGrid w:val="0"/>
              </w:rPr>
            </w:pPr>
          </w:p>
        </w:tc>
        <w:tc>
          <w:tcPr>
            <w:tcW w:w="630" w:type="dxa"/>
            <w:shd w:val="clear" w:color="auto" w:fill="auto"/>
          </w:tcPr>
          <w:p w:rsidR="00346186" w:rsidRPr="00EC1311" w:rsidRDefault="00346186" w:rsidP="0057715B">
            <w:pPr>
              <w:pStyle w:val="TableText"/>
              <w:jc w:val="right"/>
              <w:rPr>
                <w:snapToGrid w:val="0"/>
              </w:rPr>
            </w:pPr>
          </w:p>
        </w:tc>
        <w:tc>
          <w:tcPr>
            <w:tcW w:w="630" w:type="dxa"/>
            <w:shd w:val="clear" w:color="auto" w:fill="auto"/>
          </w:tcPr>
          <w:p w:rsidR="00346186" w:rsidRPr="00EC1311" w:rsidRDefault="00346186" w:rsidP="0057715B">
            <w:pPr>
              <w:pStyle w:val="TableText"/>
              <w:jc w:val="right"/>
              <w:rPr>
                <w:snapToGrid w:val="0"/>
              </w:rPr>
            </w:pPr>
          </w:p>
        </w:tc>
        <w:tc>
          <w:tcPr>
            <w:tcW w:w="630" w:type="dxa"/>
            <w:shd w:val="clear" w:color="auto" w:fill="auto"/>
          </w:tcPr>
          <w:p w:rsidR="00346186" w:rsidRPr="00EC1311" w:rsidRDefault="00346186" w:rsidP="0057715B">
            <w:pPr>
              <w:pStyle w:val="TableText"/>
              <w:jc w:val="right"/>
              <w:rPr>
                <w:snapToGrid w:val="0"/>
              </w:rPr>
            </w:pPr>
          </w:p>
        </w:tc>
        <w:tc>
          <w:tcPr>
            <w:tcW w:w="630" w:type="dxa"/>
            <w:shd w:val="clear" w:color="auto" w:fill="auto"/>
          </w:tcPr>
          <w:p w:rsidR="00346186" w:rsidRPr="00EC1311" w:rsidRDefault="00346186" w:rsidP="0057715B">
            <w:pPr>
              <w:pStyle w:val="TableText"/>
              <w:jc w:val="right"/>
              <w:rPr>
                <w:snapToGrid w:val="0"/>
              </w:rPr>
            </w:pPr>
          </w:p>
        </w:tc>
        <w:tc>
          <w:tcPr>
            <w:tcW w:w="630" w:type="dxa"/>
            <w:shd w:val="clear" w:color="auto" w:fill="auto"/>
          </w:tcPr>
          <w:p w:rsidR="00346186" w:rsidRPr="00EC1311" w:rsidRDefault="00346186" w:rsidP="0057715B">
            <w:pPr>
              <w:pStyle w:val="TableText"/>
              <w:jc w:val="right"/>
              <w:rPr>
                <w:snapToGrid w:val="0"/>
              </w:rPr>
            </w:pPr>
            <w:r>
              <w:rPr>
                <w:snapToGrid w:val="0"/>
              </w:rPr>
              <w:t>100%</w:t>
            </w:r>
          </w:p>
        </w:tc>
        <w:tc>
          <w:tcPr>
            <w:tcW w:w="630" w:type="dxa"/>
            <w:shd w:val="clear" w:color="auto" w:fill="auto"/>
          </w:tcPr>
          <w:p w:rsidR="00346186" w:rsidRPr="00EC1311" w:rsidRDefault="00346186" w:rsidP="0057715B">
            <w:pPr>
              <w:pStyle w:val="TableText"/>
              <w:tabs>
                <w:tab w:val="decimal" w:pos="516"/>
              </w:tabs>
              <w:jc w:val="right"/>
              <w:rPr>
                <w:snapToGrid w:val="0"/>
              </w:rPr>
            </w:pPr>
            <w:r>
              <w:rPr>
                <w:snapToGrid w:val="0"/>
              </w:rPr>
              <w:t>1810</w:t>
            </w:r>
          </w:p>
        </w:tc>
      </w:tr>
      <w:tr w:rsidR="00346186" w:rsidRPr="00EC1311" w:rsidTr="00285D6C">
        <w:trPr>
          <w:cantSplit/>
        </w:trPr>
        <w:tc>
          <w:tcPr>
            <w:tcW w:w="3686" w:type="dxa"/>
            <w:shd w:val="clear" w:color="auto" w:fill="auto"/>
          </w:tcPr>
          <w:p w:rsidR="00346186" w:rsidRPr="00EC1311" w:rsidRDefault="00346186" w:rsidP="0057715B">
            <w:pPr>
              <w:pStyle w:val="TableText"/>
              <w:rPr>
                <w:snapToGrid w:val="0"/>
              </w:rPr>
            </w:pPr>
            <w:r w:rsidRPr="00EC1311">
              <w:rPr>
                <w:snapToGrid w:val="0"/>
              </w:rPr>
              <w:t>R23</w:t>
            </w:r>
          </w:p>
        </w:tc>
        <w:tc>
          <w:tcPr>
            <w:tcW w:w="630" w:type="dxa"/>
            <w:shd w:val="clear" w:color="auto" w:fill="auto"/>
          </w:tcPr>
          <w:p w:rsidR="00346186" w:rsidRPr="00EC1311" w:rsidRDefault="00346186" w:rsidP="0057715B">
            <w:pPr>
              <w:pStyle w:val="TableText"/>
              <w:jc w:val="right"/>
              <w:rPr>
                <w:snapToGrid w:val="0"/>
              </w:rPr>
            </w:pPr>
            <w:r w:rsidRPr="00EC1311">
              <w:rPr>
                <w:snapToGrid w:val="0"/>
              </w:rPr>
              <w:t>100%</w:t>
            </w:r>
          </w:p>
        </w:tc>
        <w:tc>
          <w:tcPr>
            <w:tcW w:w="630" w:type="dxa"/>
            <w:shd w:val="clear" w:color="auto" w:fill="auto"/>
          </w:tcPr>
          <w:p w:rsidR="00346186" w:rsidRPr="00EC1311" w:rsidRDefault="00346186" w:rsidP="0057715B">
            <w:pPr>
              <w:pStyle w:val="TableText"/>
              <w:jc w:val="right"/>
              <w:rPr>
                <w:snapToGrid w:val="0"/>
              </w:rPr>
            </w:pPr>
          </w:p>
        </w:tc>
        <w:tc>
          <w:tcPr>
            <w:tcW w:w="630" w:type="dxa"/>
            <w:shd w:val="clear" w:color="auto" w:fill="auto"/>
          </w:tcPr>
          <w:p w:rsidR="00346186" w:rsidRPr="00EC1311" w:rsidRDefault="00346186" w:rsidP="0057715B">
            <w:pPr>
              <w:pStyle w:val="TableText"/>
              <w:jc w:val="right"/>
              <w:rPr>
                <w:snapToGrid w:val="0"/>
              </w:rPr>
            </w:pPr>
          </w:p>
        </w:tc>
        <w:tc>
          <w:tcPr>
            <w:tcW w:w="630" w:type="dxa"/>
            <w:shd w:val="clear" w:color="auto" w:fill="auto"/>
          </w:tcPr>
          <w:p w:rsidR="00346186" w:rsidRPr="00EC1311" w:rsidRDefault="00346186" w:rsidP="0057715B">
            <w:pPr>
              <w:pStyle w:val="TableText"/>
              <w:jc w:val="right"/>
              <w:rPr>
                <w:snapToGrid w:val="0"/>
              </w:rPr>
            </w:pPr>
          </w:p>
        </w:tc>
        <w:tc>
          <w:tcPr>
            <w:tcW w:w="630" w:type="dxa"/>
            <w:shd w:val="clear" w:color="auto" w:fill="auto"/>
          </w:tcPr>
          <w:p w:rsidR="00346186" w:rsidRPr="00EC1311" w:rsidRDefault="00346186" w:rsidP="0057715B">
            <w:pPr>
              <w:pStyle w:val="TableText"/>
              <w:jc w:val="right"/>
              <w:rPr>
                <w:snapToGrid w:val="0"/>
              </w:rPr>
            </w:pPr>
          </w:p>
        </w:tc>
        <w:tc>
          <w:tcPr>
            <w:tcW w:w="630" w:type="dxa"/>
            <w:shd w:val="clear" w:color="auto" w:fill="auto"/>
          </w:tcPr>
          <w:p w:rsidR="00346186" w:rsidRPr="00EC1311" w:rsidRDefault="00346186" w:rsidP="0057715B">
            <w:pPr>
              <w:pStyle w:val="TableText"/>
              <w:jc w:val="right"/>
              <w:rPr>
                <w:snapToGrid w:val="0"/>
              </w:rPr>
            </w:pPr>
          </w:p>
        </w:tc>
        <w:tc>
          <w:tcPr>
            <w:tcW w:w="630" w:type="dxa"/>
            <w:shd w:val="clear" w:color="auto" w:fill="auto"/>
          </w:tcPr>
          <w:p w:rsidR="00346186" w:rsidRPr="00EC1311" w:rsidRDefault="00346186" w:rsidP="0057715B">
            <w:pPr>
              <w:pStyle w:val="TableText"/>
              <w:jc w:val="right"/>
              <w:rPr>
                <w:snapToGrid w:val="0"/>
              </w:rPr>
            </w:pPr>
          </w:p>
        </w:tc>
        <w:tc>
          <w:tcPr>
            <w:tcW w:w="630" w:type="dxa"/>
            <w:shd w:val="clear" w:color="auto" w:fill="auto"/>
          </w:tcPr>
          <w:p w:rsidR="00346186" w:rsidRPr="00EC1311" w:rsidRDefault="00346186" w:rsidP="0057715B">
            <w:pPr>
              <w:pStyle w:val="TableText"/>
              <w:jc w:val="right"/>
              <w:rPr>
                <w:snapToGrid w:val="0"/>
              </w:rPr>
            </w:pPr>
          </w:p>
        </w:tc>
        <w:tc>
          <w:tcPr>
            <w:tcW w:w="630" w:type="dxa"/>
            <w:shd w:val="clear" w:color="auto" w:fill="auto"/>
          </w:tcPr>
          <w:p w:rsidR="00346186" w:rsidRPr="00EC1311" w:rsidRDefault="00346186" w:rsidP="0057715B">
            <w:pPr>
              <w:pStyle w:val="TableText"/>
              <w:tabs>
                <w:tab w:val="decimal" w:pos="516"/>
              </w:tabs>
              <w:jc w:val="right"/>
              <w:rPr>
                <w:snapToGrid w:val="0"/>
              </w:rPr>
            </w:pPr>
            <w:r>
              <w:rPr>
                <w:snapToGrid w:val="0"/>
              </w:rPr>
              <w:t>14800</w:t>
            </w:r>
          </w:p>
        </w:tc>
      </w:tr>
      <w:tr w:rsidR="00346186" w:rsidRPr="00EC1311" w:rsidTr="00285D6C">
        <w:trPr>
          <w:cantSplit/>
        </w:trPr>
        <w:tc>
          <w:tcPr>
            <w:tcW w:w="3686" w:type="dxa"/>
            <w:shd w:val="clear" w:color="auto" w:fill="auto"/>
          </w:tcPr>
          <w:p w:rsidR="00346186" w:rsidRPr="00EC1311" w:rsidRDefault="00346186" w:rsidP="0057715B">
            <w:pPr>
              <w:pStyle w:val="TableText"/>
              <w:rPr>
                <w:snapToGrid w:val="0"/>
              </w:rPr>
            </w:pPr>
            <w:r w:rsidRPr="00EC1311">
              <w:rPr>
                <w:snapToGrid w:val="0"/>
              </w:rPr>
              <w:t>R134a</w:t>
            </w:r>
          </w:p>
        </w:tc>
        <w:tc>
          <w:tcPr>
            <w:tcW w:w="630" w:type="dxa"/>
            <w:shd w:val="clear" w:color="auto" w:fill="auto"/>
          </w:tcPr>
          <w:p w:rsidR="00346186" w:rsidRPr="00EC1311" w:rsidRDefault="00346186" w:rsidP="0057715B">
            <w:pPr>
              <w:pStyle w:val="TableText"/>
              <w:jc w:val="right"/>
              <w:rPr>
                <w:snapToGrid w:val="0"/>
              </w:rPr>
            </w:pPr>
          </w:p>
        </w:tc>
        <w:tc>
          <w:tcPr>
            <w:tcW w:w="630" w:type="dxa"/>
            <w:shd w:val="clear" w:color="auto" w:fill="auto"/>
          </w:tcPr>
          <w:p w:rsidR="00346186" w:rsidRPr="00EC1311" w:rsidRDefault="00346186" w:rsidP="0057715B">
            <w:pPr>
              <w:pStyle w:val="TableText"/>
              <w:jc w:val="right"/>
              <w:rPr>
                <w:snapToGrid w:val="0"/>
              </w:rPr>
            </w:pPr>
          </w:p>
        </w:tc>
        <w:tc>
          <w:tcPr>
            <w:tcW w:w="630" w:type="dxa"/>
            <w:shd w:val="clear" w:color="auto" w:fill="auto"/>
          </w:tcPr>
          <w:p w:rsidR="00346186" w:rsidRPr="00EC1311" w:rsidRDefault="00346186" w:rsidP="0057715B">
            <w:pPr>
              <w:pStyle w:val="TableText"/>
              <w:jc w:val="right"/>
              <w:rPr>
                <w:snapToGrid w:val="0"/>
              </w:rPr>
            </w:pPr>
          </w:p>
        </w:tc>
        <w:tc>
          <w:tcPr>
            <w:tcW w:w="630" w:type="dxa"/>
            <w:shd w:val="clear" w:color="auto" w:fill="auto"/>
          </w:tcPr>
          <w:p w:rsidR="00346186" w:rsidRPr="00EC1311" w:rsidRDefault="00346186" w:rsidP="0057715B">
            <w:pPr>
              <w:pStyle w:val="TableText"/>
              <w:jc w:val="right"/>
              <w:rPr>
                <w:snapToGrid w:val="0"/>
              </w:rPr>
            </w:pPr>
            <w:r w:rsidRPr="00EC1311">
              <w:rPr>
                <w:snapToGrid w:val="0"/>
              </w:rPr>
              <w:t>100%</w:t>
            </w:r>
          </w:p>
        </w:tc>
        <w:tc>
          <w:tcPr>
            <w:tcW w:w="630" w:type="dxa"/>
            <w:shd w:val="clear" w:color="auto" w:fill="auto"/>
          </w:tcPr>
          <w:p w:rsidR="00346186" w:rsidRPr="00EC1311" w:rsidRDefault="00346186" w:rsidP="0057715B">
            <w:pPr>
              <w:pStyle w:val="TableText"/>
              <w:jc w:val="right"/>
              <w:rPr>
                <w:snapToGrid w:val="0"/>
              </w:rPr>
            </w:pPr>
          </w:p>
        </w:tc>
        <w:tc>
          <w:tcPr>
            <w:tcW w:w="630" w:type="dxa"/>
            <w:shd w:val="clear" w:color="auto" w:fill="auto"/>
          </w:tcPr>
          <w:p w:rsidR="00346186" w:rsidRPr="00EC1311" w:rsidRDefault="00346186" w:rsidP="0057715B">
            <w:pPr>
              <w:pStyle w:val="TableText"/>
              <w:jc w:val="right"/>
              <w:rPr>
                <w:snapToGrid w:val="0"/>
              </w:rPr>
            </w:pPr>
          </w:p>
        </w:tc>
        <w:tc>
          <w:tcPr>
            <w:tcW w:w="630" w:type="dxa"/>
            <w:shd w:val="clear" w:color="auto" w:fill="auto"/>
          </w:tcPr>
          <w:p w:rsidR="00346186" w:rsidRPr="00EC1311" w:rsidRDefault="00346186" w:rsidP="0057715B">
            <w:pPr>
              <w:pStyle w:val="TableText"/>
              <w:jc w:val="right"/>
              <w:rPr>
                <w:snapToGrid w:val="0"/>
              </w:rPr>
            </w:pPr>
          </w:p>
        </w:tc>
        <w:tc>
          <w:tcPr>
            <w:tcW w:w="630" w:type="dxa"/>
            <w:shd w:val="clear" w:color="auto" w:fill="auto"/>
          </w:tcPr>
          <w:p w:rsidR="00346186" w:rsidRPr="00EC1311" w:rsidRDefault="00346186" w:rsidP="0057715B">
            <w:pPr>
              <w:pStyle w:val="TableText"/>
              <w:jc w:val="right"/>
              <w:rPr>
                <w:snapToGrid w:val="0"/>
              </w:rPr>
            </w:pPr>
          </w:p>
        </w:tc>
        <w:tc>
          <w:tcPr>
            <w:tcW w:w="630" w:type="dxa"/>
            <w:shd w:val="clear" w:color="auto" w:fill="auto"/>
          </w:tcPr>
          <w:p w:rsidR="00346186" w:rsidRPr="00EC1311" w:rsidRDefault="00346186" w:rsidP="0057715B">
            <w:pPr>
              <w:pStyle w:val="TableText"/>
              <w:tabs>
                <w:tab w:val="decimal" w:pos="516"/>
              </w:tabs>
              <w:jc w:val="right"/>
              <w:rPr>
                <w:snapToGrid w:val="0"/>
              </w:rPr>
            </w:pPr>
            <w:r>
              <w:rPr>
                <w:snapToGrid w:val="0"/>
              </w:rPr>
              <w:t>1430</w:t>
            </w:r>
          </w:p>
        </w:tc>
      </w:tr>
      <w:tr w:rsidR="00346186" w:rsidRPr="00EC1311" w:rsidTr="00285D6C">
        <w:trPr>
          <w:cantSplit/>
        </w:trPr>
        <w:tc>
          <w:tcPr>
            <w:tcW w:w="3686" w:type="dxa"/>
            <w:shd w:val="clear" w:color="auto" w:fill="auto"/>
          </w:tcPr>
          <w:p w:rsidR="00346186" w:rsidRPr="00EC1311" w:rsidRDefault="00346186" w:rsidP="0057715B">
            <w:pPr>
              <w:pStyle w:val="TableText"/>
              <w:rPr>
                <w:snapToGrid w:val="0"/>
              </w:rPr>
            </w:pPr>
            <w:r w:rsidRPr="00EC1311">
              <w:rPr>
                <w:snapToGrid w:val="0"/>
              </w:rPr>
              <w:t>R403B: 5% R290, 56% R22, 39% R218</w:t>
            </w:r>
          </w:p>
        </w:tc>
        <w:tc>
          <w:tcPr>
            <w:tcW w:w="630" w:type="dxa"/>
            <w:shd w:val="clear" w:color="auto" w:fill="auto"/>
          </w:tcPr>
          <w:p w:rsidR="00346186" w:rsidRPr="00EC1311" w:rsidRDefault="00346186" w:rsidP="0057715B">
            <w:pPr>
              <w:pStyle w:val="TableText"/>
              <w:jc w:val="right"/>
              <w:rPr>
                <w:snapToGrid w:val="0"/>
              </w:rPr>
            </w:pPr>
          </w:p>
        </w:tc>
        <w:tc>
          <w:tcPr>
            <w:tcW w:w="630" w:type="dxa"/>
            <w:shd w:val="clear" w:color="auto" w:fill="auto"/>
          </w:tcPr>
          <w:p w:rsidR="00346186" w:rsidRPr="00EC1311" w:rsidRDefault="00346186" w:rsidP="0057715B">
            <w:pPr>
              <w:pStyle w:val="TableText"/>
              <w:jc w:val="right"/>
              <w:rPr>
                <w:snapToGrid w:val="0"/>
              </w:rPr>
            </w:pPr>
          </w:p>
        </w:tc>
        <w:tc>
          <w:tcPr>
            <w:tcW w:w="630" w:type="dxa"/>
            <w:shd w:val="clear" w:color="auto" w:fill="auto"/>
          </w:tcPr>
          <w:p w:rsidR="00346186" w:rsidRPr="00EC1311" w:rsidRDefault="00346186" w:rsidP="0057715B">
            <w:pPr>
              <w:pStyle w:val="TableText"/>
              <w:jc w:val="right"/>
              <w:rPr>
                <w:snapToGrid w:val="0"/>
              </w:rPr>
            </w:pPr>
          </w:p>
        </w:tc>
        <w:tc>
          <w:tcPr>
            <w:tcW w:w="630" w:type="dxa"/>
            <w:shd w:val="clear" w:color="auto" w:fill="auto"/>
          </w:tcPr>
          <w:p w:rsidR="00346186" w:rsidRPr="00EC1311" w:rsidRDefault="00346186" w:rsidP="0057715B">
            <w:pPr>
              <w:pStyle w:val="TableText"/>
              <w:jc w:val="right"/>
              <w:rPr>
                <w:snapToGrid w:val="0"/>
              </w:rPr>
            </w:pPr>
          </w:p>
        </w:tc>
        <w:tc>
          <w:tcPr>
            <w:tcW w:w="630" w:type="dxa"/>
            <w:shd w:val="clear" w:color="auto" w:fill="auto"/>
          </w:tcPr>
          <w:p w:rsidR="00346186" w:rsidRPr="00EC1311" w:rsidRDefault="00346186" w:rsidP="0057715B">
            <w:pPr>
              <w:pStyle w:val="TableText"/>
              <w:jc w:val="right"/>
              <w:rPr>
                <w:snapToGrid w:val="0"/>
              </w:rPr>
            </w:pPr>
          </w:p>
        </w:tc>
        <w:tc>
          <w:tcPr>
            <w:tcW w:w="630" w:type="dxa"/>
            <w:shd w:val="clear" w:color="auto" w:fill="auto"/>
          </w:tcPr>
          <w:p w:rsidR="00346186" w:rsidRPr="00EC1311" w:rsidRDefault="00346186" w:rsidP="0057715B">
            <w:pPr>
              <w:pStyle w:val="TableText"/>
              <w:jc w:val="right"/>
              <w:rPr>
                <w:snapToGrid w:val="0"/>
              </w:rPr>
            </w:pPr>
          </w:p>
        </w:tc>
        <w:tc>
          <w:tcPr>
            <w:tcW w:w="630" w:type="dxa"/>
            <w:shd w:val="clear" w:color="auto" w:fill="auto"/>
          </w:tcPr>
          <w:p w:rsidR="00346186" w:rsidRPr="00EC1311" w:rsidRDefault="00346186" w:rsidP="0057715B">
            <w:pPr>
              <w:pStyle w:val="TableText"/>
              <w:jc w:val="right"/>
              <w:rPr>
                <w:snapToGrid w:val="0"/>
              </w:rPr>
            </w:pPr>
            <w:r w:rsidRPr="00EC1311">
              <w:rPr>
                <w:snapToGrid w:val="0"/>
              </w:rPr>
              <w:t>39%</w:t>
            </w:r>
          </w:p>
        </w:tc>
        <w:tc>
          <w:tcPr>
            <w:tcW w:w="630" w:type="dxa"/>
            <w:shd w:val="clear" w:color="auto" w:fill="auto"/>
          </w:tcPr>
          <w:p w:rsidR="00346186" w:rsidRPr="00EC1311" w:rsidRDefault="00346186" w:rsidP="0057715B">
            <w:pPr>
              <w:pStyle w:val="TableText"/>
              <w:jc w:val="right"/>
              <w:rPr>
                <w:snapToGrid w:val="0"/>
              </w:rPr>
            </w:pPr>
            <w:r w:rsidRPr="00EC1311">
              <w:rPr>
                <w:snapToGrid w:val="0"/>
              </w:rPr>
              <w:t>61%</w:t>
            </w:r>
          </w:p>
        </w:tc>
        <w:tc>
          <w:tcPr>
            <w:tcW w:w="630" w:type="dxa"/>
            <w:shd w:val="clear" w:color="auto" w:fill="auto"/>
          </w:tcPr>
          <w:p w:rsidR="00346186" w:rsidRPr="00EC1311" w:rsidRDefault="00346186" w:rsidP="0057715B">
            <w:pPr>
              <w:pStyle w:val="TableText"/>
              <w:tabs>
                <w:tab w:val="decimal" w:pos="516"/>
              </w:tabs>
              <w:jc w:val="right"/>
              <w:rPr>
                <w:snapToGrid w:val="0"/>
              </w:rPr>
            </w:pPr>
            <w:r>
              <w:rPr>
                <w:snapToGrid w:val="0"/>
              </w:rPr>
              <w:t>3444</w:t>
            </w:r>
          </w:p>
        </w:tc>
      </w:tr>
      <w:tr w:rsidR="00346186" w:rsidRPr="00EC1311" w:rsidTr="00285D6C">
        <w:trPr>
          <w:cantSplit/>
        </w:trPr>
        <w:tc>
          <w:tcPr>
            <w:tcW w:w="3686" w:type="dxa"/>
            <w:shd w:val="clear" w:color="auto" w:fill="auto"/>
          </w:tcPr>
          <w:p w:rsidR="00346186" w:rsidRPr="00EC1311" w:rsidRDefault="00346186" w:rsidP="0057715B">
            <w:pPr>
              <w:pStyle w:val="TableText"/>
              <w:rPr>
                <w:snapToGrid w:val="0"/>
              </w:rPr>
            </w:pPr>
            <w:r w:rsidRPr="00EC1311">
              <w:rPr>
                <w:snapToGrid w:val="0"/>
              </w:rPr>
              <w:t>R404A: 44% R125, 52% R143a, 4% R134a</w:t>
            </w:r>
          </w:p>
        </w:tc>
        <w:tc>
          <w:tcPr>
            <w:tcW w:w="630" w:type="dxa"/>
            <w:shd w:val="clear" w:color="auto" w:fill="auto"/>
          </w:tcPr>
          <w:p w:rsidR="00346186" w:rsidRPr="00EC1311" w:rsidRDefault="00346186" w:rsidP="0057715B">
            <w:pPr>
              <w:pStyle w:val="TableText"/>
              <w:jc w:val="right"/>
              <w:rPr>
                <w:snapToGrid w:val="0"/>
              </w:rPr>
            </w:pPr>
          </w:p>
        </w:tc>
        <w:tc>
          <w:tcPr>
            <w:tcW w:w="630" w:type="dxa"/>
            <w:shd w:val="clear" w:color="auto" w:fill="auto"/>
          </w:tcPr>
          <w:p w:rsidR="00346186" w:rsidRPr="00EC1311" w:rsidRDefault="00346186" w:rsidP="0057715B">
            <w:pPr>
              <w:pStyle w:val="TableText"/>
              <w:jc w:val="right"/>
              <w:rPr>
                <w:snapToGrid w:val="0"/>
              </w:rPr>
            </w:pPr>
          </w:p>
        </w:tc>
        <w:tc>
          <w:tcPr>
            <w:tcW w:w="630" w:type="dxa"/>
            <w:shd w:val="clear" w:color="auto" w:fill="auto"/>
          </w:tcPr>
          <w:p w:rsidR="00346186" w:rsidRPr="00EC1311" w:rsidRDefault="00346186" w:rsidP="0057715B">
            <w:pPr>
              <w:pStyle w:val="TableText"/>
              <w:jc w:val="right"/>
              <w:rPr>
                <w:snapToGrid w:val="0"/>
              </w:rPr>
            </w:pPr>
            <w:r w:rsidRPr="00EC1311">
              <w:rPr>
                <w:snapToGrid w:val="0"/>
              </w:rPr>
              <w:t>44%</w:t>
            </w:r>
          </w:p>
        </w:tc>
        <w:tc>
          <w:tcPr>
            <w:tcW w:w="630" w:type="dxa"/>
            <w:shd w:val="clear" w:color="auto" w:fill="auto"/>
          </w:tcPr>
          <w:p w:rsidR="00346186" w:rsidRPr="00EC1311" w:rsidRDefault="00346186" w:rsidP="0057715B">
            <w:pPr>
              <w:pStyle w:val="TableText"/>
              <w:jc w:val="right"/>
              <w:rPr>
                <w:snapToGrid w:val="0"/>
              </w:rPr>
            </w:pPr>
            <w:r w:rsidRPr="00EC1311">
              <w:rPr>
                <w:snapToGrid w:val="0"/>
              </w:rPr>
              <w:t>4%</w:t>
            </w:r>
          </w:p>
        </w:tc>
        <w:tc>
          <w:tcPr>
            <w:tcW w:w="630" w:type="dxa"/>
            <w:shd w:val="clear" w:color="auto" w:fill="auto"/>
          </w:tcPr>
          <w:p w:rsidR="00346186" w:rsidRPr="00EC1311" w:rsidRDefault="00346186" w:rsidP="0057715B">
            <w:pPr>
              <w:pStyle w:val="TableText"/>
              <w:jc w:val="right"/>
              <w:rPr>
                <w:snapToGrid w:val="0"/>
              </w:rPr>
            </w:pPr>
            <w:r w:rsidRPr="00EC1311">
              <w:rPr>
                <w:snapToGrid w:val="0"/>
              </w:rPr>
              <w:t>52%</w:t>
            </w:r>
          </w:p>
        </w:tc>
        <w:tc>
          <w:tcPr>
            <w:tcW w:w="630" w:type="dxa"/>
            <w:shd w:val="clear" w:color="auto" w:fill="auto"/>
          </w:tcPr>
          <w:p w:rsidR="00346186" w:rsidRPr="00EC1311" w:rsidRDefault="00346186" w:rsidP="0057715B">
            <w:pPr>
              <w:pStyle w:val="TableText"/>
              <w:jc w:val="right"/>
              <w:rPr>
                <w:snapToGrid w:val="0"/>
              </w:rPr>
            </w:pPr>
          </w:p>
        </w:tc>
        <w:tc>
          <w:tcPr>
            <w:tcW w:w="630" w:type="dxa"/>
            <w:shd w:val="clear" w:color="auto" w:fill="auto"/>
          </w:tcPr>
          <w:p w:rsidR="00346186" w:rsidRPr="00EC1311" w:rsidRDefault="00346186" w:rsidP="0057715B">
            <w:pPr>
              <w:pStyle w:val="TableText"/>
              <w:jc w:val="right"/>
              <w:rPr>
                <w:snapToGrid w:val="0"/>
              </w:rPr>
            </w:pPr>
          </w:p>
        </w:tc>
        <w:tc>
          <w:tcPr>
            <w:tcW w:w="630" w:type="dxa"/>
            <w:shd w:val="clear" w:color="auto" w:fill="auto"/>
          </w:tcPr>
          <w:p w:rsidR="00346186" w:rsidRPr="00EC1311" w:rsidRDefault="00346186" w:rsidP="0057715B">
            <w:pPr>
              <w:pStyle w:val="TableText"/>
              <w:jc w:val="right"/>
              <w:rPr>
                <w:snapToGrid w:val="0"/>
              </w:rPr>
            </w:pPr>
          </w:p>
        </w:tc>
        <w:tc>
          <w:tcPr>
            <w:tcW w:w="630" w:type="dxa"/>
            <w:shd w:val="clear" w:color="auto" w:fill="auto"/>
          </w:tcPr>
          <w:p w:rsidR="00346186" w:rsidRPr="00EC1311" w:rsidRDefault="00346186" w:rsidP="0057715B">
            <w:pPr>
              <w:pStyle w:val="TableText"/>
              <w:tabs>
                <w:tab w:val="decimal" w:pos="516"/>
              </w:tabs>
              <w:jc w:val="right"/>
              <w:rPr>
                <w:snapToGrid w:val="0"/>
              </w:rPr>
            </w:pPr>
            <w:r>
              <w:rPr>
                <w:snapToGrid w:val="0"/>
              </w:rPr>
              <w:t>3922</w:t>
            </w:r>
          </w:p>
        </w:tc>
      </w:tr>
      <w:tr w:rsidR="00346186" w:rsidRPr="00EC1311" w:rsidTr="00285D6C">
        <w:trPr>
          <w:cantSplit/>
        </w:trPr>
        <w:tc>
          <w:tcPr>
            <w:tcW w:w="3686" w:type="dxa"/>
            <w:shd w:val="clear" w:color="auto" w:fill="auto"/>
          </w:tcPr>
          <w:p w:rsidR="00346186" w:rsidRPr="00EC1311" w:rsidRDefault="00346186" w:rsidP="0057715B">
            <w:pPr>
              <w:pStyle w:val="TableText"/>
              <w:rPr>
                <w:snapToGrid w:val="0"/>
              </w:rPr>
            </w:pPr>
            <w:r w:rsidRPr="00EC1311">
              <w:rPr>
                <w:snapToGrid w:val="0"/>
              </w:rPr>
              <w:t>R407C: 23% R32, 25% R125, 52% R134a</w:t>
            </w:r>
          </w:p>
        </w:tc>
        <w:tc>
          <w:tcPr>
            <w:tcW w:w="630" w:type="dxa"/>
            <w:shd w:val="clear" w:color="auto" w:fill="auto"/>
          </w:tcPr>
          <w:p w:rsidR="00346186" w:rsidRPr="00EC1311" w:rsidRDefault="00346186" w:rsidP="0057715B">
            <w:pPr>
              <w:pStyle w:val="TableText"/>
              <w:jc w:val="right"/>
              <w:rPr>
                <w:snapToGrid w:val="0"/>
              </w:rPr>
            </w:pPr>
          </w:p>
        </w:tc>
        <w:tc>
          <w:tcPr>
            <w:tcW w:w="630" w:type="dxa"/>
            <w:shd w:val="clear" w:color="auto" w:fill="auto"/>
          </w:tcPr>
          <w:p w:rsidR="00346186" w:rsidRPr="00EC1311" w:rsidRDefault="00346186" w:rsidP="0057715B">
            <w:pPr>
              <w:pStyle w:val="TableText"/>
              <w:jc w:val="right"/>
              <w:rPr>
                <w:snapToGrid w:val="0"/>
              </w:rPr>
            </w:pPr>
            <w:r w:rsidRPr="00EC1311">
              <w:rPr>
                <w:snapToGrid w:val="0"/>
              </w:rPr>
              <w:t>23%</w:t>
            </w:r>
          </w:p>
        </w:tc>
        <w:tc>
          <w:tcPr>
            <w:tcW w:w="630" w:type="dxa"/>
            <w:shd w:val="clear" w:color="auto" w:fill="auto"/>
          </w:tcPr>
          <w:p w:rsidR="00346186" w:rsidRPr="00EC1311" w:rsidRDefault="00346186" w:rsidP="0057715B">
            <w:pPr>
              <w:pStyle w:val="TableText"/>
              <w:jc w:val="right"/>
              <w:rPr>
                <w:snapToGrid w:val="0"/>
              </w:rPr>
            </w:pPr>
            <w:r w:rsidRPr="00EC1311">
              <w:rPr>
                <w:snapToGrid w:val="0"/>
              </w:rPr>
              <w:t>25%</w:t>
            </w:r>
          </w:p>
        </w:tc>
        <w:tc>
          <w:tcPr>
            <w:tcW w:w="630" w:type="dxa"/>
            <w:shd w:val="clear" w:color="auto" w:fill="auto"/>
          </w:tcPr>
          <w:p w:rsidR="00346186" w:rsidRPr="00EC1311" w:rsidRDefault="00346186" w:rsidP="0057715B">
            <w:pPr>
              <w:pStyle w:val="TableText"/>
              <w:jc w:val="right"/>
              <w:rPr>
                <w:snapToGrid w:val="0"/>
              </w:rPr>
            </w:pPr>
            <w:r w:rsidRPr="00EC1311">
              <w:rPr>
                <w:snapToGrid w:val="0"/>
              </w:rPr>
              <w:t>52%</w:t>
            </w:r>
          </w:p>
        </w:tc>
        <w:tc>
          <w:tcPr>
            <w:tcW w:w="630" w:type="dxa"/>
            <w:shd w:val="clear" w:color="auto" w:fill="auto"/>
          </w:tcPr>
          <w:p w:rsidR="00346186" w:rsidRPr="00EC1311" w:rsidRDefault="00346186" w:rsidP="0057715B">
            <w:pPr>
              <w:pStyle w:val="TableText"/>
              <w:jc w:val="right"/>
              <w:rPr>
                <w:snapToGrid w:val="0"/>
              </w:rPr>
            </w:pPr>
          </w:p>
        </w:tc>
        <w:tc>
          <w:tcPr>
            <w:tcW w:w="630" w:type="dxa"/>
            <w:shd w:val="clear" w:color="auto" w:fill="auto"/>
          </w:tcPr>
          <w:p w:rsidR="00346186" w:rsidRPr="00EC1311" w:rsidRDefault="00346186" w:rsidP="0057715B">
            <w:pPr>
              <w:pStyle w:val="TableText"/>
              <w:jc w:val="right"/>
              <w:rPr>
                <w:snapToGrid w:val="0"/>
              </w:rPr>
            </w:pPr>
          </w:p>
        </w:tc>
        <w:tc>
          <w:tcPr>
            <w:tcW w:w="630" w:type="dxa"/>
            <w:shd w:val="clear" w:color="auto" w:fill="auto"/>
          </w:tcPr>
          <w:p w:rsidR="00346186" w:rsidRPr="00EC1311" w:rsidRDefault="00346186" w:rsidP="0057715B">
            <w:pPr>
              <w:pStyle w:val="TableText"/>
              <w:jc w:val="right"/>
              <w:rPr>
                <w:snapToGrid w:val="0"/>
              </w:rPr>
            </w:pPr>
          </w:p>
        </w:tc>
        <w:tc>
          <w:tcPr>
            <w:tcW w:w="630" w:type="dxa"/>
            <w:shd w:val="clear" w:color="auto" w:fill="auto"/>
          </w:tcPr>
          <w:p w:rsidR="00346186" w:rsidRPr="00EC1311" w:rsidRDefault="00346186" w:rsidP="0057715B">
            <w:pPr>
              <w:pStyle w:val="TableText"/>
              <w:jc w:val="right"/>
              <w:rPr>
                <w:snapToGrid w:val="0"/>
              </w:rPr>
            </w:pPr>
          </w:p>
        </w:tc>
        <w:tc>
          <w:tcPr>
            <w:tcW w:w="630" w:type="dxa"/>
            <w:shd w:val="clear" w:color="auto" w:fill="auto"/>
          </w:tcPr>
          <w:p w:rsidR="00346186" w:rsidRPr="00EC1311" w:rsidRDefault="00346186" w:rsidP="0057715B">
            <w:pPr>
              <w:pStyle w:val="TableText"/>
              <w:tabs>
                <w:tab w:val="decimal" w:pos="516"/>
              </w:tabs>
              <w:jc w:val="right"/>
              <w:rPr>
                <w:snapToGrid w:val="0"/>
              </w:rPr>
            </w:pPr>
            <w:r>
              <w:rPr>
                <w:snapToGrid w:val="0"/>
              </w:rPr>
              <w:t>1774</w:t>
            </w:r>
          </w:p>
        </w:tc>
      </w:tr>
      <w:tr w:rsidR="00346186" w:rsidRPr="00EC1311" w:rsidTr="00285D6C">
        <w:trPr>
          <w:cantSplit/>
        </w:trPr>
        <w:tc>
          <w:tcPr>
            <w:tcW w:w="3686" w:type="dxa"/>
            <w:shd w:val="clear" w:color="auto" w:fill="auto"/>
          </w:tcPr>
          <w:p w:rsidR="00346186" w:rsidRPr="00EC1311" w:rsidRDefault="00346186" w:rsidP="0057715B">
            <w:pPr>
              <w:pStyle w:val="TableText"/>
              <w:rPr>
                <w:snapToGrid w:val="0"/>
              </w:rPr>
            </w:pPr>
            <w:r w:rsidRPr="00EC1311">
              <w:rPr>
                <w:snapToGrid w:val="0"/>
              </w:rPr>
              <w:t>R408A: 7% R125, 46% 143a, 47% R22</w:t>
            </w:r>
          </w:p>
        </w:tc>
        <w:tc>
          <w:tcPr>
            <w:tcW w:w="630" w:type="dxa"/>
            <w:shd w:val="clear" w:color="auto" w:fill="auto"/>
          </w:tcPr>
          <w:p w:rsidR="00346186" w:rsidRPr="00EC1311" w:rsidRDefault="00346186" w:rsidP="0057715B">
            <w:pPr>
              <w:pStyle w:val="TableText"/>
              <w:jc w:val="right"/>
              <w:rPr>
                <w:snapToGrid w:val="0"/>
              </w:rPr>
            </w:pPr>
          </w:p>
        </w:tc>
        <w:tc>
          <w:tcPr>
            <w:tcW w:w="630" w:type="dxa"/>
            <w:shd w:val="clear" w:color="auto" w:fill="auto"/>
          </w:tcPr>
          <w:p w:rsidR="00346186" w:rsidRPr="00EC1311" w:rsidRDefault="00346186" w:rsidP="0057715B">
            <w:pPr>
              <w:pStyle w:val="TableText"/>
              <w:jc w:val="right"/>
              <w:rPr>
                <w:snapToGrid w:val="0"/>
              </w:rPr>
            </w:pPr>
          </w:p>
        </w:tc>
        <w:tc>
          <w:tcPr>
            <w:tcW w:w="630" w:type="dxa"/>
            <w:shd w:val="clear" w:color="auto" w:fill="auto"/>
          </w:tcPr>
          <w:p w:rsidR="00346186" w:rsidRPr="00EC1311" w:rsidRDefault="00346186" w:rsidP="0057715B">
            <w:pPr>
              <w:pStyle w:val="TableText"/>
              <w:jc w:val="right"/>
              <w:rPr>
                <w:snapToGrid w:val="0"/>
              </w:rPr>
            </w:pPr>
            <w:r w:rsidRPr="00EC1311">
              <w:rPr>
                <w:snapToGrid w:val="0"/>
              </w:rPr>
              <w:t>7%</w:t>
            </w:r>
          </w:p>
        </w:tc>
        <w:tc>
          <w:tcPr>
            <w:tcW w:w="630" w:type="dxa"/>
            <w:shd w:val="clear" w:color="auto" w:fill="auto"/>
          </w:tcPr>
          <w:p w:rsidR="00346186" w:rsidRPr="00EC1311" w:rsidRDefault="00346186" w:rsidP="0057715B">
            <w:pPr>
              <w:pStyle w:val="TableText"/>
              <w:jc w:val="right"/>
              <w:rPr>
                <w:snapToGrid w:val="0"/>
              </w:rPr>
            </w:pPr>
          </w:p>
        </w:tc>
        <w:tc>
          <w:tcPr>
            <w:tcW w:w="630" w:type="dxa"/>
            <w:shd w:val="clear" w:color="auto" w:fill="auto"/>
          </w:tcPr>
          <w:p w:rsidR="00346186" w:rsidRPr="00EC1311" w:rsidRDefault="00346186" w:rsidP="0057715B">
            <w:pPr>
              <w:pStyle w:val="TableText"/>
              <w:jc w:val="right"/>
              <w:rPr>
                <w:snapToGrid w:val="0"/>
              </w:rPr>
            </w:pPr>
            <w:r w:rsidRPr="00EC1311">
              <w:rPr>
                <w:snapToGrid w:val="0"/>
              </w:rPr>
              <w:t>46%</w:t>
            </w:r>
          </w:p>
        </w:tc>
        <w:tc>
          <w:tcPr>
            <w:tcW w:w="630" w:type="dxa"/>
            <w:shd w:val="clear" w:color="auto" w:fill="auto"/>
          </w:tcPr>
          <w:p w:rsidR="00346186" w:rsidRPr="00EC1311" w:rsidRDefault="00346186" w:rsidP="0057715B">
            <w:pPr>
              <w:pStyle w:val="TableText"/>
              <w:jc w:val="right"/>
              <w:rPr>
                <w:snapToGrid w:val="0"/>
              </w:rPr>
            </w:pPr>
          </w:p>
        </w:tc>
        <w:tc>
          <w:tcPr>
            <w:tcW w:w="630" w:type="dxa"/>
            <w:shd w:val="clear" w:color="auto" w:fill="auto"/>
          </w:tcPr>
          <w:p w:rsidR="00346186" w:rsidRPr="00EC1311" w:rsidRDefault="00346186" w:rsidP="0057715B">
            <w:pPr>
              <w:pStyle w:val="TableText"/>
              <w:jc w:val="right"/>
              <w:rPr>
                <w:snapToGrid w:val="0"/>
              </w:rPr>
            </w:pPr>
          </w:p>
        </w:tc>
        <w:tc>
          <w:tcPr>
            <w:tcW w:w="630" w:type="dxa"/>
            <w:shd w:val="clear" w:color="auto" w:fill="auto"/>
          </w:tcPr>
          <w:p w:rsidR="00346186" w:rsidRPr="00EC1311" w:rsidRDefault="00346186" w:rsidP="0057715B">
            <w:pPr>
              <w:pStyle w:val="TableText"/>
              <w:jc w:val="right"/>
              <w:rPr>
                <w:snapToGrid w:val="0"/>
              </w:rPr>
            </w:pPr>
            <w:r w:rsidRPr="00EC1311">
              <w:rPr>
                <w:snapToGrid w:val="0"/>
              </w:rPr>
              <w:t>47%</w:t>
            </w:r>
          </w:p>
        </w:tc>
        <w:tc>
          <w:tcPr>
            <w:tcW w:w="630" w:type="dxa"/>
            <w:shd w:val="clear" w:color="auto" w:fill="auto"/>
          </w:tcPr>
          <w:p w:rsidR="00346186" w:rsidRPr="00EC1311" w:rsidRDefault="00346186" w:rsidP="0057715B">
            <w:pPr>
              <w:pStyle w:val="TableText"/>
              <w:tabs>
                <w:tab w:val="decimal" w:pos="516"/>
              </w:tabs>
              <w:jc w:val="right"/>
              <w:rPr>
                <w:snapToGrid w:val="0"/>
              </w:rPr>
            </w:pPr>
            <w:r>
              <w:rPr>
                <w:snapToGrid w:val="0"/>
              </w:rPr>
              <w:t>2301</w:t>
            </w:r>
          </w:p>
        </w:tc>
      </w:tr>
      <w:tr w:rsidR="00346186" w:rsidRPr="00EC1311" w:rsidTr="00285D6C">
        <w:trPr>
          <w:cantSplit/>
        </w:trPr>
        <w:tc>
          <w:tcPr>
            <w:tcW w:w="3686" w:type="dxa"/>
            <w:shd w:val="clear" w:color="auto" w:fill="auto"/>
          </w:tcPr>
          <w:p w:rsidR="00346186" w:rsidRPr="00EC1311" w:rsidRDefault="00346186" w:rsidP="0057715B">
            <w:pPr>
              <w:pStyle w:val="TableText"/>
              <w:rPr>
                <w:snapToGrid w:val="0"/>
              </w:rPr>
            </w:pPr>
            <w:r w:rsidRPr="00EC1311">
              <w:rPr>
                <w:snapToGrid w:val="0"/>
              </w:rPr>
              <w:t>R410A: 50% R32, 50% R125</w:t>
            </w:r>
          </w:p>
        </w:tc>
        <w:tc>
          <w:tcPr>
            <w:tcW w:w="630" w:type="dxa"/>
            <w:shd w:val="clear" w:color="auto" w:fill="auto"/>
          </w:tcPr>
          <w:p w:rsidR="00346186" w:rsidRPr="00EC1311" w:rsidRDefault="00346186" w:rsidP="0057715B">
            <w:pPr>
              <w:pStyle w:val="TableText"/>
              <w:jc w:val="right"/>
              <w:rPr>
                <w:snapToGrid w:val="0"/>
              </w:rPr>
            </w:pPr>
          </w:p>
        </w:tc>
        <w:tc>
          <w:tcPr>
            <w:tcW w:w="630" w:type="dxa"/>
            <w:shd w:val="clear" w:color="auto" w:fill="auto"/>
          </w:tcPr>
          <w:p w:rsidR="00346186" w:rsidRPr="00EC1311" w:rsidRDefault="00346186" w:rsidP="0057715B">
            <w:pPr>
              <w:pStyle w:val="TableText"/>
              <w:jc w:val="right"/>
              <w:rPr>
                <w:snapToGrid w:val="0"/>
              </w:rPr>
            </w:pPr>
            <w:r w:rsidRPr="00EC1311">
              <w:rPr>
                <w:snapToGrid w:val="0"/>
              </w:rPr>
              <w:t>50%</w:t>
            </w:r>
          </w:p>
        </w:tc>
        <w:tc>
          <w:tcPr>
            <w:tcW w:w="630" w:type="dxa"/>
            <w:shd w:val="clear" w:color="auto" w:fill="auto"/>
          </w:tcPr>
          <w:p w:rsidR="00346186" w:rsidRPr="00EC1311" w:rsidRDefault="00346186" w:rsidP="0057715B">
            <w:pPr>
              <w:pStyle w:val="TableText"/>
              <w:jc w:val="right"/>
              <w:rPr>
                <w:snapToGrid w:val="0"/>
              </w:rPr>
            </w:pPr>
            <w:r w:rsidRPr="00EC1311">
              <w:rPr>
                <w:snapToGrid w:val="0"/>
              </w:rPr>
              <w:t>50%</w:t>
            </w:r>
          </w:p>
        </w:tc>
        <w:tc>
          <w:tcPr>
            <w:tcW w:w="630" w:type="dxa"/>
            <w:shd w:val="clear" w:color="auto" w:fill="auto"/>
          </w:tcPr>
          <w:p w:rsidR="00346186" w:rsidRPr="00EC1311" w:rsidRDefault="00346186" w:rsidP="0057715B">
            <w:pPr>
              <w:pStyle w:val="TableText"/>
              <w:jc w:val="right"/>
              <w:rPr>
                <w:snapToGrid w:val="0"/>
              </w:rPr>
            </w:pPr>
          </w:p>
        </w:tc>
        <w:tc>
          <w:tcPr>
            <w:tcW w:w="630" w:type="dxa"/>
            <w:shd w:val="clear" w:color="auto" w:fill="auto"/>
          </w:tcPr>
          <w:p w:rsidR="00346186" w:rsidRPr="00EC1311" w:rsidRDefault="00346186" w:rsidP="0057715B">
            <w:pPr>
              <w:pStyle w:val="TableText"/>
              <w:jc w:val="right"/>
              <w:rPr>
                <w:snapToGrid w:val="0"/>
              </w:rPr>
            </w:pPr>
          </w:p>
        </w:tc>
        <w:tc>
          <w:tcPr>
            <w:tcW w:w="630" w:type="dxa"/>
            <w:shd w:val="clear" w:color="auto" w:fill="auto"/>
          </w:tcPr>
          <w:p w:rsidR="00346186" w:rsidRPr="00EC1311" w:rsidRDefault="00346186" w:rsidP="0057715B">
            <w:pPr>
              <w:pStyle w:val="TableText"/>
              <w:jc w:val="right"/>
              <w:rPr>
                <w:snapToGrid w:val="0"/>
              </w:rPr>
            </w:pPr>
          </w:p>
        </w:tc>
        <w:tc>
          <w:tcPr>
            <w:tcW w:w="630" w:type="dxa"/>
            <w:shd w:val="clear" w:color="auto" w:fill="auto"/>
          </w:tcPr>
          <w:p w:rsidR="00346186" w:rsidRPr="00EC1311" w:rsidRDefault="00346186" w:rsidP="0057715B">
            <w:pPr>
              <w:pStyle w:val="TableText"/>
              <w:jc w:val="right"/>
              <w:rPr>
                <w:snapToGrid w:val="0"/>
              </w:rPr>
            </w:pPr>
          </w:p>
        </w:tc>
        <w:tc>
          <w:tcPr>
            <w:tcW w:w="630" w:type="dxa"/>
            <w:shd w:val="clear" w:color="auto" w:fill="auto"/>
          </w:tcPr>
          <w:p w:rsidR="00346186" w:rsidRPr="00EC1311" w:rsidRDefault="00346186" w:rsidP="0057715B">
            <w:pPr>
              <w:pStyle w:val="TableText"/>
              <w:jc w:val="right"/>
              <w:rPr>
                <w:snapToGrid w:val="0"/>
              </w:rPr>
            </w:pPr>
          </w:p>
        </w:tc>
        <w:tc>
          <w:tcPr>
            <w:tcW w:w="630" w:type="dxa"/>
            <w:shd w:val="clear" w:color="auto" w:fill="auto"/>
          </w:tcPr>
          <w:p w:rsidR="00346186" w:rsidRPr="00EC1311" w:rsidRDefault="00346186" w:rsidP="0057715B">
            <w:pPr>
              <w:pStyle w:val="TableText"/>
              <w:tabs>
                <w:tab w:val="decimal" w:pos="516"/>
              </w:tabs>
              <w:jc w:val="right"/>
              <w:rPr>
                <w:snapToGrid w:val="0"/>
              </w:rPr>
            </w:pPr>
            <w:r>
              <w:rPr>
                <w:snapToGrid w:val="0"/>
              </w:rPr>
              <w:t>2088</w:t>
            </w:r>
          </w:p>
        </w:tc>
      </w:tr>
      <w:tr w:rsidR="00346186" w:rsidRPr="00EC1311" w:rsidTr="00285D6C">
        <w:trPr>
          <w:cantSplit/>
        </w:trPr>
        <w:tc>
          <w:tcPr>
            <w:tcW w:w="3686" w:type="dxa"/>
            <w:shd w:val="clear" w:color="auto" w:fill="auto"/>
          </w:tcPr>
          <w:p w:rsidR="00346186" w:rsidRPr="00EC1311" w:rsidRDefault="00346186" w:rsidP="0057715B">
            <w:pPr>
              <w:pStyle w:val="TableText"/>
              <w:rPr>
                <w:snapToGrid w:val="0"/>
              </w:rPr>
            </w:pPr>
            <w:r w:rsidRPr="00EC1311">
              <w:rPr>
                <w:snapToGrid w:val="0"/>
              </w:rPr>
              <w:t>R413A: 9% R218, 88% R134a, 3% R600a</w:t>
            </w:r>
          </w:p>
        </w:tc>
        <w:tc>
          <w:tcPr>
            <w:tcW w:w="630" w:type="dxa"/>
            <w:shd w:val="clear" w:color="auto" w:fill="auto"/>
          </w:tcPr>
          <w:p w:rsidR="00346186" w:rsidRPr="00EC1311" w:rsidRDefault="00346186" w:rsidP="0057715B">
            <w:pPr>
              <w:pStyle w:val="TableText"/>
              <w:jc w:val="right"/>
              <w:rPr>
                <w:snapToGrid w:val="0"/>
              </w:rPr>
            </w:pPr>
          </w:p>
        </w:tc>
        <w:tc>
          <w:tcPr>
            <w:tcW w:w="630" w:type="dxa"/>
            <w:shd w:val="clear" w:color="auto" w:fill="auto"/>
          </w:tcPr>
          <w:p w:rsidR="00346186" w:rsidRPr="00EC1311" w:rsidRDefault="00346186" w:rsidP="0057715B">
            <w:pPr>
              <w:pStyle w:val="TableText"/>
              <w:jc w:val="right"/>
              <w:rPr>
                <w:snapToGrid w:val="0"/>
              </w:rPr>
            </w:pPr>
          </w:p>
        </w:tc>
        <w:tc>
          <w:tcPr>
            <w:tcW w:w="630" w:type="dxa"/>
            <w:shd w:val="clear" w:color="auto" w:fill="auto"/>
          </w:tcPr>
          <w:p w:rsidR="00346186" w:rsidRPr="00EC1311" w:rsidRDefault="00346186" w:rsidP="0057715B">
            <w:pPr>
              <w:pStyle w:val="TableText"/>
              <w:jc w:val="right"/>
              <w:rPr>
                <w:snapToGrid w:val="0"/>
              </w:rPr>
            </w:pPr>
          </w:p>
        </w:tc>
        <w:tc>
          <w:tcPr>
            <w:tcW w:w="630" w:type="dxa"/>
            <w:shd w:val="clear" w:color="auto" w:fill="auto"/>
          </w:tcPr>
          <w:p w:rsidR="00346186" w:rsidRPr="00EC1311" w:rsidRDefault="00346186" w:rsidP="0057715B">
            <w:pPr>
              <w:pStyle w:val="TableText"/>
              <w:jc w:val="right"/>
              <w:rPr>
                <w:snapToGrid w:val="0"/>
              </w:rPr>
            </w:pPr>
            <w:r w:rsidRPr="00EC1311">
              <w:rPr>
                <w:snapToGrid w:val="0"/>
              </w:rPr>
              <w:t>88%</w:t>
            </w:r>
          </w:p>
        </w:tc>
        <w:tc>
          <w:tcPr>
            <w:tcW w:w="630" w:type="dxa"/>
            <w:shd w:val="clear" w:color="auto" w:fill="auto"/>
          </w:tcPr>
          <w:p w:rsidR="00346186" w:rsidRPr="00EC1311" w:rsidRDefault="00346186" w:rsidP="0057715B">
            <w:pPr>
              <w:pStyle w:val="TableText"/>
              <w:jc w:val="right"/>
              <w:rPr>
                <w:snapToGrid w:val="0"/>
              </w:rPr>
            </w:pPr>
          </w:p>
        </w:tc>
        <w:tc>
          <w:tcPr>
            <w:tcW w:w="630" w:type="dxa"/>
            <w:shd w:val="clear" w:color="auto" w:fill="auto"/>
          </w:tcPr>
          <w:p w:rsidR="00346186" w:rsidRPr="00EC1311" w:rsidRDefault="00346186" w:rsidP="0057715B">
            <w:pPr>
              <w:pStyle w:val="TableText"/>
              <w:jc w:val="right"/>
              <w:rPr>
                <w:snapToGrid w:val="0"/>
              </w:rPr>
            </w:pPr>
          </w:p>
        </w:tc>
        <w:tc>
          <w:tcPr>
            <w:tcW w:w="630" w:type="dxa"/>
            <w:shd w:val="clear" w:color="auto" w:fill="auto"/>
          </w:tcPr>
          <w:p w:rsidR="00346186" w:rsidRPr="00EC1311" w:rsidRDefault="00346186" w:rsidP="0057715B">
            <w:pPr>
              <w:pStyle w:val="TableText"/>
              <w:jc w:val="right"/>
              <w:rPr>
                <w:snapToGrid w:val="0"/>
              </w:rPr>
            </w:pPr>
            <w:r w:rsidRPr="00EC1311">
              <w:rPr>
                <w:snapToGrid w:val="0"/>
              </w:rPr>
              <w:t>9%</w:t>
            </w:r>
          </w:p>
        </w:tc>
        <w:tc>
          <w:tcPr>
            <w:tcW w:w="630" w:type="dxa"/>
            <w:shd w:val="clear" w:color="auto" w:fill="auto"/>
          </w:tcPr>
          <w:p w:rsidR="00346186" w:rsidRPr="00EC1311" w:rsidRDefault="00346186" w:rsidP="0057715B">
            <w:pPr>
              <w:pStyle w:val="TableText"/>
              <w:jc w:val="right"/>
              <w:rPr>
                <w:snapToGrid w:val="0"/>
              </w:rPr>
            </w:pPr>
            <w:r w:rsidRPr="00EC1311">
              <w:rPr>
                <w:snapToGrid w:val="0"/>
              </w:rPr>
              <w:t>3%</w:t>
            </w:r>
          </w:p>
        </w:tc>
        <w:tc>
          <w:tcPr>
            <w:tcW w:w="630" w:type="dxa"/>
            <w:shd w:val="clear" w:color="auto" w:fill="auto"/>
          </w:tcPr>
          <w:p w:rsidR="00346186" w:rsidRPr="00EC1311" w:rsidRDefault="00346186" w:rsidP="0057715B">
            <w:pPr>
              <w:pStyle w:val="TableText"/>
              <w:tabs>
                <w:tab w:val="decimal" w:pos="516"/>
              </w:tabs>
              <w:jc w:val="right"/>
              <w:rPr>
                <w:snapToGrid w:val="0"/>
              </w:rPr>
            </w:pPr>
            <w:r>
              <w:rPr>
                <w:snapToGrid w:val="0"/>
              </w:rPr>
              <w:t>2053</w:t>
            </w:r>
          </w:p>
        </w:tc>
      </w:tr>
      <w:tr w:rsidR="00346186" w:rsidRPr="00EC1311" w:rsidTr="00285D6C">
        <w:trPr>
          <w:cantSplit/>
        </w:trPr>
        <w:tc>
          <w:tcPr>
            <w:tcW w:w="3686" w:type="dxa"/>
            <w:shd w:val="clear" w:color="auto" w:fill="auto"/>
          </w:tcPr>
          <w:p w:rsidR="00346186" w:rsidRPr="00EC1311" w:rsidRDefault="00346186" w:rsidP="0057715B">
            <w:pPr>
              <w:pStyle w:val="TableText"/>
              <w:rPr>
                <w:snapToGrid w:val="0"/>
              </w:rPr>
            </w:pPr>
            <w:r w:rsidRPr="00EC1311">
              <w:rPr>
                <w:snapToGrid w:val="0"/>
              </w:rPr>
              <w:t>R416A: 59% R134a, 39.5% R124,1.5% R600</w:t>
            </w:r>
          </w:p>
        </w:tc>
        <w:tc>
          <w:tcPr>
            <w:tcW w:w="630" w:type="dxa"/>
            <w:shd w:val="clear" w:color="auto" w:fill="auto"/>
          </w:tcPr>
          <w:p w:rsidR="00346186" w:rsidRPr="00EC1311" w:rsidRDefault="00346186" w:rsidP="0057715B">
            <w:pPr>
              <w:pStyle w:val="TableText"/>
              <w:jc w:val="right"/>
              <w:rPr>
                <w:snapToGrid w:val="0"/>
              </w:rPr>
            </w:pPr>
          </w:p>
        </w:tc>
        <w:tc>
          <w:tcPr>
            <w:tcW w:w="630" w:type="dxa"/>
            <w:shd w:val="clear" w:color="auto" w:fill="auto"/>
          </w:tcPr>
          <w:p w:rsidR="00346186" w:rsidRPr="00EC1311" w:rsidRDefault="00346186" w:rsidP="0057715B">
            <w:pPr>
              <w:pStyle w:val="TableText"/>
              <w:jc w:val="right"/>
              <w:rPr>
                <w:snapToGrid w:val="0"/>
              </w:rPr>
            </w:pPr>
          </w:p>
        </w:tc>
        <w:tc>
          <w:tcPr>
            <w:tcW w:w="630" w:type="dxa"/>
            <w:shd w:val="clear" w:color="auto" w:fill="auto"/>
          </w:tcPr>
          <w:p w:rsidR="00346186" w:rsidRPr="00EC1311" w:rsidRDefault="00346186" w:rsidP="0057715B">
            <w:pPr>
              <w:pStyle w:val="TableText"/>
              <w:jc w:val="right"/>
              <w:rPr>
                <w:snapToGrid w:val="0"/>
              </w:rPr>
            </w:pPr>
          </w:p>
        </w:tc>
        <w:tc>
          <w:tcPr>
            <w:tcW w:w="630" w:type="dxa"/>
            <w:shd w:val="clear" w:color="auto" w:fill="auto"/>
          </w:tcPr>
          <w:p w:rsidR="00346186" w:rsidRPr="00EC1311" w:rsidRDefault="00346186" w:rsidP="0057715B">
            <w:pPr>
              <w:pStyle w:val="TableText"/>
              <w:jc w:val="right"/>
              <w:rPr>
                <w:snapToGrid w:val="0"/>
              </w:rPr>
            </w:pPr>
            <w:r w:rsidRPr="00EC1311">
              <w:rPr>
                <w:snapToGrid w:val="0"/>
              </w:rPr>
              <w:t>59%</w:t>
            </w:r>
          </w:p>
        </w:tc>
        <w:tc>
          <w:tcPr>
            <w:tcW w:w="630" w:type="dxa"/>
            <w:shd w:val="clear" w:color="auto" w:fill="auto"/>
          </w:tcPr>
          <w:p w:rsidR="00346186" w:rsidRPr="00EC1311" w:rsidRDefault="00346186" w:rsidP="0057715B">
            <w:pPr>
              <w:pStyle w:val="TableText"/>
              <w:jc w:val="right"/>
              <w:rPr>
                <w:snapToGrid w:val="0"/>
              </w:rPr>
            </w:pPr>
          </w:p>
        </w:tc>
        <w:tc>
          <w:tcPr>
            <w:tcW w:w="630" w:type="dxa"/>
            <w:shd w:val="clear" w:color="auto" w:fill="auto"/>
          </w:tcPr>
          <w:p w:rsidR="00346186" w:rsidRPr="00EC1311" w:rsidRDefault="00346186" w:rsidP="0057715B">
            <w:pPr>
              <w:pStyle w:val="TableText"/>
              <w:jc w:val="right"/>
              <w:rPr>
                <w:snapToGrid w:val="0"/>
              </w:rPr>
            </w:pPr>
          </w:p>
        </w:tc>
        <w:tc>
          <w:tcPr>
            <w:tcW w:w="630" w:type="dxa"/>
            <w:shd w:val="clear" w:color="auto" w:fill="auto"/>
          </w:tcPr>
          <w:p w:rsidR="00346186" w:rsidRPr="00EC1311" w:rsidRDefault="00346186" w:rsidP="0057715B">
            <w:pPr>
              <w:pStyle w:val="TableText"/>
              <w:jc w:val="right"/>
              <w:rPr>
                <w:snapToGrid w:val="0"/>
              </w:rPr>
            </w:pPr>
          </w:p>
        </w:tc>
        <w:tc>
          <w:tcPr>
            <w:tcW w:w="630" w:type="dxa"/>
            <w:shd w:val="clear" w:color="auto" w:fill="auto"/>
          </w:tcPr>
          <w:p w:rsidR="00346186" w:rsidRPr="00EC1311" w:rsidRDefault="00346186" w:rsidP="0057715B">
            <w:pPr>
              <w:pStyle w:val="TableText"/>
              <w:jc w:val="right"/>
              <w:rPr>
                <w:snapToGrid w:val="0"/>
              </w:rPr>
            </w:pPr>
            <w:r w:rsidRPr="00EC1311">
              <w:rPr>
                <w:snapToGrid w:val="0"/>
              </w:rPr>
              <w:t>41%</w:t>
            </w:r>
          </w:p>
        </w:tc>
        <w:tc>
          <w:tcPr>
            <w:tcW w:w="630" w:type="dxa"/>
            <w:shd w:val="clear" w:color="auto" w:fill="auto"/>
          </w:tcPr>
          <w:p w:rsidR="00346186" w:rsidRPr="00EC1311" w:rsidRDefault="00346186" w:rsidP="0057715B">
            <w:pPr>
              <w:pStyle w:val="TableText"/>
              <w:tabs>
                <w:tab w:val="decimal" w:pos="516"/>
              </w:tabs>
              <w:jc w:val="right"/>
              <w:rPr>
                <w:snapToGrid w:val="0"/>
              </w:rPr>
            </w:pPr>
            <w:r>
              <w:rPr>
                <w:snapToGrid w:val="0"/>
              </w:rPr>
              <w:t>844</w:t>
            </w:r>
          </w:p>
        </w:tc>
      </w:tr>
      <w:tr w:rsidR="00346186" w:rsidRPr="00EC1311" w:rsidTr="00285D6C">
        <w:trPr>
          <w:cantSplit/>
        </w:trPr>
        <w:tc>
          <w:tcPr>
            <w:tcW w:w="3686" w:type="dxa"/>
            <w:shd w:val="clear" w:color="auto" w:fill="auto"/>
          </w:tcPr>
          <w:p w:rsidR="00346186" w:rsidRPr="00EC1311" w:rsidRDefault="00346186" w:rsidP="0057715B">
            <w:pPr>
              <w:pStyle w:val="TableText"/>
              <w:rPr>
                <w:snapToGrid w:val="0"/>
              </w:rPr>
            </w:pPr>
            <w:r w:rsidRPr="00EC1311">
              <w:rPr>
                <w:snapToGrid w:val="0"/>
              </w:rPr>
              <w:t>R417A: 46.6% R125 50% R134a 3.4% R600</w:t>
            </w:r>
          </w:p>
        </w:tc>
        <w:tc>
          <w:tcPr>
            <w:tcW w:w="630" w:type="dxa"/>
            <w:shd w:val="clear" w:color="auto" w:fill="auto"/>
          </w:tcPr>
          <w:p w:rsidR="00346186" w:rsidRPr="00EC1311" w:rsidRDefault="00346186" w:rsidP="0057715B">
            <w:pPr>
              <w:pStyle w:val="TableText"/>
              <w:jc w:val="right"/>
              <w:rPr>
                <w:snapToGrid w:val="0"/>
              </w:rPr>
            </w:pPr>
          </w:p>
        </w:tc>
        <w:tc>
          <w:tcPr>
            <w:tcW w:w="630" w:type="dxa"/>
            <w:shd w:val="clear" w:color="auto" w:fill="auto"/>
          </w:tcPr>
          <w:p w:rsidR="00346186" w:rsidRPr="00EC1311" w:rsidRDefault="00346186" w:rsidP="0057715B">
            <w:pPr>
              <w:pStyle w:val="TableText"/>
              <w:jc w:val="right"/>
              <w:rPr>
                <w:snapToGrid w:val="0"/>
              </w:rPr>
            </w:pPr>
          </w:p>
        </w:tc>
        <w:tc>
          <w:tcPr>
            <w:tcW w:w="630" w:type="dxa"/>
            <w:shd w:val="clear" w:color="auto" w:fill="auto"/>
          </w:tcPr>
          <w:p w:rsidR="00346186" w:rsidRPr="00EC1311" w:rsidRDefault="00346186" w:rsidP="0057715B">
            <w:pPr>
              <w:pStyle w:val="TableText"/>
              <w:jc w:val="right"/>
              <w:rPr>
                <w:snapToGrid w:val="0"/>
              </w:rPr>
            </w:pPr>
            <w:r w:rsidRPr="00EC1311">
              <w:rPr>
                <w:snapToGrid w:val="0"/>
              </w:rPr>
              <w:t>46.6%</w:t>
            </w:r>
          </w:p>
        </w:tc>
        <w:tc>
          <w:tcPr>
            <w:tcW w:w="630" w:type="dxa"/>
            <w:shd w:val="clear" w:color="auto" w:fill="auto"/>
          </w:tcPr>
          <w:p w:rsidR="00346186" w:rsidRPr="00EC1311" w:rsidRDefault="00346186" w:rsidP="0057715B">
            <w:pPr>
              <w:pStyle w:val="TableText"/>
              <w:jc w:val="right"/>
              <w:rPr>
                <w:snapToGrid w:val="0"/>
              </w:rPr>
            </w:pPr>
            <w:r w:rsidRPr="00EC1311">
              <w:rPr>
                <w:snapToGrid w:val="0"/>
              </w:rPr>
              <w:t>50%</w:t>
            </w:r>
          </w:p>
        </w:tc>
        <w:tc>
          <w:tcPr>
            <w:tcW w:w="630" w:type="dxa"/>
            <w:shd w:val="clear" w:color="auto" w:fill="auto"/>
          </w:tcPr>
          <w:p w:rsidR="00346186" w:rsidRPr="00EC1311" w:rsidRDefault="00346186" w:rsidP="0057715B">
            <w:pPr>
              <w:pStyle w:val="TableText"/>
              <w:jc w:val="right"/>
              <w:rPr>
                <w:snapToGrid w:val="0"/>
              </w:rPr>
            </w:pPr>
          </w:p>
        </w:tc>
        <w:tc>
          <w:tcPr>
            <w:tcW w:w="630" w:type="dxa"/>
            <w:shd w:val="clear" w:color="auto" w:fill="auto"/>
          </w:tcPr>
          <w:p w:rsidR="00346186" w:rsidRPr="00EC1311" w:rsidRDefault="00346186" w:rsidP="0057715B">
            <w:pPr>
              <w:pStyle w:val="TableText"/>
              <w:jc w:val="right"/>
              <w:rPr>
                <w:snapToGrid w:val="0"/>
              </w:rPr>
            </w:pPr>
          </w:p>
        </w:tc>
        <w:tc>
          <w:tcPr>
            <w:tcW w:w="630" w:type="dxa"/>
            <w:shd w:val="clear" w:color="auto" w:fill="auto"/>
          </w:tcPr>
          <w:p w:rsidR="00346186" w:rsidRPr="00EC1311" w:rsidRDefault="00346186" w:rsidP="0057715B">
            <w:pPr>
              <w:pStyle w:val="TableText"/>
              <w:jc w:val="right"/>
              <w:rPr>
                <w:snapToGrid w:val="0"/>
              </w:rPr>
            </w:pPr>
          </w:p>
        </w:tc>
        <w:tc>
          <w:tcPr>
            <w:tcW w:w="630" w:type="dxa"/>
            <w:shd w:val="clear" w:color="auto" w:fill="auto"/>
          </w:tcPr>
          <w:p w:rsidR="00346186" w:rsidRPr="00EC1311" w:rsidRDefault="00346186" w:rsidP="0057715B">
            <w:pPr>
              <w:pStyle w:val="TableText"/>
              <w:jc w:val="right"/>
              <w:rPr>
                <w:snapToGrid w:val="0"/>
              </w:rPr>
            </w:pPr>
            <w:r w:rsidRPr="00EC1311">
              <w:rPr>
                <w:snapToGrid w:val="0"/>
              </w:rPr>
              <w:t>3.4%</w:t>
            </w:r>
          </w:p>
        </w:tc>
        <w:tc>
          <w:tcPr>
            <w:tcW w:w="630" w:type="dxa"/>
            <w:shd w:val="clear" w:color="auto" w:fill="auto"/>
          </w:tcPr>
          <w:p w:rsidR="00346186" w:rsidRPr="00EC1311" w:rsidRDefault="00346186" w:rsidP="0057715B">
            <w:pPr>
              <w:pStyle w:val="TableText"/>
              <w:tabs>
                <w:tab w:val="decimal" w:pos="516"/>
              </w:tabs>
              <w:jc w:val="right"/>
              <w:rPr>
                <w:snapToGrid w:val="0"/>
              </w:rPr>
            </w:pPr>
            <w:r>
              <w:rPr>
                <w:snapToGrid w:val="0"/>
              </w:rPr>
              <w:t>2346</w:t>
            </w:r>
          </w:p>
        </w:tc>
      </w:tr>
      <w:tr w:rsidR="00346186" w:rsidRPr="00EC1311" w:rsidTr="00285D6C">
        <w:trPr>
          <w:cantSplit/>
        </w:trPr>
        <w:tc>
          <w:tcPr>
            <w:tcW w:w="3686" w:type="dxa"/>
            <w:shd w:val="clear" w:color="auto" w:fill="auto"/>
          </w:tcPr>
          <w:p w:rsidR="00346186" w:rsidRPr="00EC1311" w:rsidRDefault="00346186" w:rsidP="0057715B">
            <w:pPr>
              <w:pStyle w:val="TableText"/>
              <w:rPr>
                <w:snapToGrid w:val="0"/>
              </w:rPr>
            </w:pPr>
            <w:r w:rsidRPr="00EC1311">
              <w:rPr>
                <w:snapToGrid w:val="0"/>
              </w:rPr>
              <w:t>R422A: 85.1% R125, 11.5% R134a, 3.4% R600a</w:t>
            </w:r>
          </w:p>
        </w:tc>
        <w:tc>
          <w:tcPr>
            <w:tcW w:w="630" w:type="dxa"/>
            <w:shd w:val="clear" w:color="auto" w:fill="auto"/>
          </w:tcPr>
          <w:p w:rsidR="00346186" w:rsidRPr="00EC1311" w:rsidRDefault="00346186" w:rsidP="0057715B">
            <w:pPr>
              <w:pStyle w:val="TableText"/>
              <w:jc w:val="right"/>
              <w:rPr>
                <w:snapToGrid w:val="0"/>
              </w:rPr>
            </w:pPr>
          </w:p>
        </w:tc>
        <w:tc>
          <w:tcPr>
            <w:tcW w:w="630" w:type="dxa"/>
            <w:shd w:val="clear" w:color="auto" w:fill="auto"/>
          </w:tcPr>
          <w:p w:rsidR="00346186" w:rsidRPr="00EC1311" w:rsidRDefault="00346186" w:rsidP="0057715B">
            <w:pPr>
              <w:pStyle w:val="TableText"/>
              <w:jc w:val="right"/>
              <w:rPr>
                <w:snapToGrid w:val="0"/>
              </w:rPr>
            </w:pPr>
          </w:p>
        </w:tc>
        <w:tc>
          <w:tcPr>
            <w:tcW w:w="630" w:type="dxa"/>
            <w:shd w:val="clear" w:color="auto" w:fill="auto"/>
          </w:tcPr>
          <w:p w:rsidR="00346186" w:rsidRPr="00EC1311" w:rsidRDefault="00346186" w:rsidP="0057715B">
            <w:pPr>
              <w:pStyle w:val="TableText"/>
              <w:jc w:val="right"/>
              <w:rPr>
                <w:snapToGrid w:val="0"/>
              </w:rPr>
            </w:pPr>
            <w:r w:rsidRPr="00EC1311">
              <w:rPr>
                <w:snapToGrid w:val="0"/>
              </w:rPr>
              <w:t>85.1%</w:t>
            </w:r>
          </w:p>
        </w:tc>
        <w:tc>
          <w:tcPr>
            <w:tcW w:w="630" w:type="dxa"/>
            <w:shd w:val="clear" w:color="auto" w:fill="auto"/>
          </w:tcPr>
          <w:p w:rsidR="00346186" w:rsidRPr="00EC1311" w:rsidRDefault="00346186" w:rsidP="0057715B">
            <w:pPr>
              <w:pStyle w:val="TableText"/>
              <w:jc w:val="right"/>
              <w:rPr>
                <w:snapToGrid w:val="0"/>
              </w:rPr>
            </w:pPr>
            <w:r w:rsidRPr="00EC1311">
              <w:rPr>
                <w:snapToGrid w:val="0"/>
              </w:rPr>
              <w:t>11.5%</w:t>
            </w:r>
          </w:p>
        </w:tc>
        <w:tc>
          <w:tcPr>
            <w:tcW w:w="630" w:type="dxa"/>
            <w:shd w:val="clear" w:color="auto" w:fill="auto"/>
          </w:tcPr>
          <w:p w:rsidR="00346186" w:rsidRPr="00EC1311" w:rsidRDefault="00346186" w:rsidP="0057715B">
            <w:pPr>
              <w:pStyle w:val="TableText"/>
              <w:jc w:val="right"/>
              <w:rPr>
                <w:snapToGrid w:val="0"/>
              </w:rPr>
            </w:pPr>
          </w:p>
        </w:tc>
        <w:tc>
          <w:tcPr>
            <w:tcW w:w="630" w:type="dxa"/>
            <w:shd w:val="clear" w:color="auto" w:fill="auto"/>
          </w:tcPr>
          <w:p w:rsidR="00346186" w:rsidRPr="00EC1311" w:rsidRDefault="00346186" w:rsidP="0057715B">
            <w:pPr>
              <w:pStyle w:val="TableText"/>
              <w:jc w:val="right"/>
              <w:rPr>
                <w:snapToGrid w:val="0"/>
              </w:rPr>
            </w:pPr>
          </w:p>
        </w:tc>
        <w:tc>
          <w:tcPr>
            <w:tcW w:w="630" w:type="dxa"/>
            <w:shd w:val="clear" w:color="auto" w:fill="auto"/>
          </w:tcPr>
          <w:p w:rsidR="00346186" w:rsidRPr="00EC1311" w:rsidRDefault="00346186" w:rsidP="0057715B">
            <w:pPr>
              <w:pStyle w:val="TableText"/>
              <w:jc w:val="right"/>
              <w:rPr>
                <w:snapToGrid w:val="0"/>
              </w:rPr>
            </w:pPr>
          </w:p>
        </w:tc>
        <w:tc>
          <w:tcPr>
            <w:tcW w:w="630" w:type="dxa"/>
            <w:shd w:val="clear" w:color="auto" w:fill="auto"/>
          </w:tcPr>
          <w:p w:rsidR="00346186" w:rsidRPr="00EC1311" w:rsidRDefault="00346186" w:rsidP="0057715B">
            <w:pPr>
              <w:pStyle w:val="TableText"/>
              <w:jc w:val="right"/>
              <w:rPr>
                <w:snapToGrid w:val="0"/>
              </w:rPr>
            </w:pPr>
            <w:r w:rsidRPr="00EC1311">
              <w:rPr>
                <w:snapToGrid w:val="0"/>
              </w:rPr>
              <w:t>3.4%</w:t>
            </w:r>
          </w:p>
        </w:tc>
        <w:tc>
          <w:tcPr>
            <w:tcW w:w="630" w:type="dxa"/>
            <w:shd w:val="clear" w:color="auto" w:fill="auto"/>
          </w:tcPr>
          <w:p w:rsidR="00346186" w:rsidRPr="00EC1311" w:rsidRDefault="00346186" w:rsidP="0057715B">
            <w:pPr>
              <w:pStyle w:val="TableText"/>
              <w:tabs>
                <w:tab w:val="decimal" w:pos="516"/>
              </w:tabs>
              <w:jc w:val="right"/>
              <w:rPr>
                <w:snapToGrid w:val="0"/>
              </w:rPr>
            </w:pPr>
            <w:r>
              <w:rPr>
                <w:snapToGrid w:val="0"/>
              </w:rPr>
              <w:t>3143</w:t>
            </w:r>
          </w:p>
        </w:tc>
      </w:tr>
      <w:tr w:rsidR="00346186" w:rsidRPr="00EC1311" w:rsidTr="00285D6C">
        <w:trPr>
          <w:cantSplit/>
        </w:trPr>
        <w:tc>
          <w:tcPr>
            <w:tcW w:w="3686" w:type="dxa"/>
            <w:shd w:val="clear" w:color="auto" w:fill="auto"/>
          </w:tcPr>
          <w:p w:rsidR="00346186" w:rsidRPr="00EC1311" w:rsidRDefault="00346186" w:rsidP="0057715B">
            <w:pPr>
              <w:pStyle w:val="TableText"/>
              <w:rPr>
                <w:snapToGrid w:val="0"/>
              </w:rPr>
            </w:pPr>
            <w:r w:rsidRPr="00EC1311">
              <w:rPr>
                <w:snapToGrid w:val="0"/>
              </w:rPr>
              <w:t>R507A: 50% R125, 50% R143a</w:t>
            </w:r>
          </w:p>
        </w:tc>
        <w:tc>
          <w:tcPr>
            <w:tcW w:w="630" w:type="dxa"/>
            <w:shd w:val="clear" w:color="auto" w:fill="auto"/>
          </w:tcPr>
          <w:p w:rsidR="00346186" w:rsidRPr="00EC1311" w:rsidRDefault="00346186" w:rsidP="0057715B">
            <w:pPr>
              <w:pStyle w:val="TableText"/>
              <w:jc w:val="right"/>
              <w:rPr>
                <w:snapToGrid w:val="0"/>
              </w:rPr>
            </w:pPr>
          </w:p>
        </w:tc>
        <w:tc>
          <w:tcPr>
            <w:tcW w:w="630" w:type="dxa"/>
            <w:shd w:val="clear" w:color="auto" w:fill="auto"/>
          </w:tcPr>
          <w:p w:rsidR="00346186" w:rsidRPr="00EC1311" w:rsidRDefault="00346186" w:rsidP="0057715B">
            <w:pPr>
              <w:pStyle w:val="TableText"/>
              <w:jc w:val="right"/>
              <w:rPr>
                <w:snapToGrid w:val="0"/>
              </w:rPr>
            </w:pPr>
          </w:p>
        </w:tc>
        <w:tc>
          <w:tcPr>
            <w:tcW w:w="630" w:type="dxa"/>
            <w:shd w:val="clear" w:color="auto" w:fill="auto"/>
          </w:tcPr>
          <w:p w:rsidR="00346186" w:rsidRPr="00EC1311" w:rsidRDefault="00346186" w:rsidP="0057715B">
            <w:pPr>
              <w:pStyle w:val="TableText"/>
              <w:jc w:val="right"/>
              <w:rPr>
                <w:snapToGrid w:val="0"/>
              </w:rPr>
            </w:pPr>
            <w:r w:rsidRPr="00EC1311">
              <w:rPr>
                <w:snapToGrid w:val="0"/>
              </w:rPr>
              <w:t>50%</w:t>
            </w:r>
          </w:p>
        </w:tc>
        <w:tc>
          <w:tcPr>
            <w:tcW w:w="630" w:type="dxa"/>
            <w:shd w:val="clear" w:color="auto" w:fill="auto"/>
          </w:tcPr>
          <w:p w:rsidR="00346186" w:rsidRPr="00EC1311" w:rsidRDefault="00346186" w:rsidP="0057715B">
            <w:pPr>
              <w:pStyle w:val="TableText"/>
              <w:jc w:val="right"/>
              <w:rPr>
                <w:snapToGrid w:val="0"/>
              </w:rPr>
            </w:pPr>
          </w:p>
        </w:tc>
        <w:tc>
          <w:tcPr>
            <w:tcW w:w="630" w:type="dxa"/>
            <w:shd w:val="clear" w:color="auto" w:fill="auto"/>
          </w:tcPr>
          <w:p w:rsidR="00346186" w:rsidRPr="00EC1311" w:rsidRDefault="00346186" w:rsidP="0057715B">
            <w:pPr>
              <w:pStyle w:val="TableText"/>
              <w:jc w:val="right"/>
              <w:rPr>
                <w:snapToGrid w:val="0"/>
              </w:rPr>
            </w:pPr>
            <w:r w:rsidRPr="00EC1311">
              <w:rPr>
                <w:snapToGrid w:val="0"/>
              </w:rPr>
              <w:t>50%</w:t>
            </w:r>
          </w:p>
        </w:tc>
        <w:tc>
          <w:tcPr>
            <w:tcW w:w="630" w:type="dxa"/>
            <w:shd w:val="clear" w:color="auto" w:fill="auto"/>
          </w:tcPr>
          <w:p w:rsidR="00346186" w:rsidRPr="00EC1311" w:rsidRDefault="00346186" w:rsidP="0057715B">
            <w:pPr>
              <w:pStyle w:val="TableText"/>
              <w:jc w:val="right"/>
              <w:rPr>
                <w:snapToGrid w:val="0"/>
              </w:rPr>
            </w:pPr>
          </w:p>
        </w:tc>
        <w:tc>
          <w:tcPr>
            <w:tcW w:w="630" w:type="dxa"/>
            <w:shd w:val="clear" w:color="auto" w:fill="auto"/>
          </w:tcPr>
          <w:p w:rsidR="00346186" w:rsidRPr="00EC1311" w:rsidRDefault="00346186" w:rsidP="0057715B">
            <w:pPr>
              <w:pStyle w:val="TableText"/>
              <w:jc w:val="right"/>
              <w:rPr>
                <w:snapToGrid w:val="0"/>
              </w:rPr>
            </w:pPr>
          </w:p>
        </w:tc>
        <w:tc>
          <w:tcPr>
            <w:tcW w:w="630" w:type="dxa"/>
            <w:shd w:val="clear" w:color="auto" w:fill="auto"/>
          </w:tcPr>
          <w:p w:rsidR="00346186" w:rsidRPr="00EC1311" w:rsidRDefault="00346186" w:rsidP="0057715B">
            <w:pPr>
              <w:pStyle w:val="TableText"/>
              <w:jc w:val="right"/>
              <w:rPr>
                <w:snapToGrid w:val="0"/>
              </w:rPr>
            </w:pPr>
          </w:p>
        </w:tc>
        <w:tc>
          <w:tcPr>
            <w:tcW w:w="630" w:type="dxa"/>
            <w:shd w:val="clear" w:color="auto" w:fill="auto"/>
          </w:tcPr>
          <w:p w:rsidR="00346186" w:rsidRPr="00EC1311" w:rsidRDefault="00346186" w:rsidP="0057715B">
            <w:pPr>
              <w:pStyle w:val="TableText"/>
              <w:tabs>
                <w:tab w:val="decimal" w:pos="516"/>
              </w:tabs>
              <w:jc w:val="right"/>
              <w:rPr>
                <w:snapToGrid w:val="0"/>
              </w:rPr>
            </w:pPr>
            <w:r>
              <w:rPr>
                <w:snapToGrid w:val="0"/>
              </w:rPr>
              <w:t>3985</w:t>
            </w:r>
          </w:p>
        </w:tc>
      </w:tr>
    </w:tbl>
    <w:p w:rsidR="009E3385" w:rsidRPr="002477CB" w:rsidRDefault="009E3385" w:rsidP="00D73F9D">
      <w:pPr>
        <w:pStyle w:val="Heading4"/>
      </w:pPr>
      <w:r w:rsidRPr="002477CB">
        <w:lastRenderedPageBreak/>
        <w:t>Assumptions</w:t>
      </w:r>
    </w:p>
    <w:p w:rsidR="009E3385" w:rsidRPr="00C048E9" w:rsidRDefault="009E3385" w:rsidP="007D0ACA">
      <w:pPr>
        <w:jc w:val="left"/>
        <w:rPr>
          <w:i/>
        </w:rPr>
      </w:pPr>
      <w:r w:rsidRPr="00C048E9">
        <w:t xml:space="preserve">The </w:t>
      </w:r>
      <w:r>
        <w:t xml:space="preserve">default factors for installation, operation and disposal of refrigerant equipment supplied in </w:t>
      </w:r>
      <w:r w:rsidR="00535485">
        <w:t>t</w:t>
      </w:r>
      <w:r w:rsidR="00D73F9D">
        <w:t xml:space="preserve">able </w:t>
      </w:r>
      <w:r w:rsidR="00BB02FB">
        <w:t>12</w:t>
      </w:r>
      <w:r w:rsidR="00956130">
        <w:t>. They</w:t>
      </w:r>
      <w:r w:rsidR="001A1722">
        <w:t xml:space="preserve"> </w:t>
      </w:r>
      <w:r>
        <w:t xml:space="preserve">are </w:t>
      </w:r>
      <w:r w:rsidRPr="00C048E9">
        <w:t xml:space="preserve">derived from </w:t>
      </w:r>
      <w:r w:rsidR="002011D7">
        <w:t xml:space="preserve">a report from CRL Energy Limited to the Ministry for the Environment on </w:t>
      </w:r>
      <w:r w:rsidRPr="00C048E9">
        <w:t xml:space="preserve">the </w:t>
      </w:r>
      <w:r w:rsidRPr="00C048E9">
        <w:rPr>
          <w:i/>
        </w:rPr>
        <w:t>Assessment of HFC Emission Factors for GHG Reporting Guidelines</w:t>
      </w:r>
      <w:r>
        <w:rPr>
          <w:i/>
        </w:rPr>
        <w:t xml:space="preserve"> </w:t>
      </w:r>
      <w:r w:rsidR="002011D7" w:rsidRPr="002011D7">
        <w:t>(</w:t>
      </w:r>
      <w:r w:rsidRPr="002011D7">
        <w:t>2008</w:t>
      </w:r>
      <w:r w:rsidR="002011D7" w:rsidRPr="002011D7">
        <w:t>)</w:t>
      </w:r>
      <w:r w:rsidRPr="00C048E9">
        <w:t xml:space="preserve">. </w:t>
      </w:r>
      <w:r>
        <w:t>These are based on data for New Zealand refrigeration and air</w:t>
      </w:r>
      <w:r w:rsidR="00535485">
        <w:t>-</w:t>
      </w:r>
      <w:r>
        <w:t>conditioning equipment stock.</w:t>
      </w:r>
    </w:p>
    <w:p w:rsidR="009E3385" w:rsidRDefault="009E3385" w:rsidP="007D0ACA">
      <w:pPr>
        <w:jc w:val="left"/>
      </w:pPr>
    </w:p>
    <w:p w:rsidR="00903143" w:rsidRDefault="00903143" w:rsidP="007D0ACA">
      <w:pPr>
        <w:jc w:val="left"/>
      </w:pPr>
      <w:r>
        <w:t>In the absence of consistent information for New Zealand, the default assumption for the assembly emissions rate is the rounded</w:t>
      </w:r>
      <w:r w:rsidR="00535485">
        <w:t>-</w:t>
      </w:r>
      <w:r>
        <w:t>off IPCC 2006 mid-range value. This will not be applicable (relevant) for many pre-charged units.</w:t>
      </w:r>
    </w:p>
    <w:p w:rsidR="00903143" w:rsidRDefault="00903143" w:rsidP="007D0ACA">
      <w:pPr>
        <w:jc w:val="left"/>
      </w:pPr>
    </w:p>
    <w:p w:rsidR="00903143" w:rsidRDefault="00903143" w:rsidP="007D0ACA">
      <w:pPr>
        <w:jc w:val="left"/>
      </w:pPr>
      <w:r>
        <w:t>For simplicity, the default operating emission factor does not take account of the variability associated with equipment age.</w:t>
      </w:r>
    </w:p>
    <w:p w:rsidR="00903143" w:rsidRDefault="00903143" w:rsidP="007D0ACA">
      <w:pPr>
        <w:jc w:val="left"/>
      </w:pPr>
    </w:p>
    <w:p w:rsidR="00EC1311" w:rsidRDefault="009E3385" w:rsidP="007D0ACA">
      <w:pPr>
        <w:jc w:val="left"/>
      </w:pPr>
      <w:r w:rsidRPr="00BB6726">
        <w:t>The greatest potential for significant emissions from refrigeration and air</w:t>
      </w:r>
      <w:r w:rsidR="00535485">
        <w:t>-</w:t>
      </w:r>
      <w:r w:rsidRPr="00BB6726">
        <w:t>conditioning equipment is in the disposal stage of the life cycle.</w:t>
      </w:r>
      <w:r w:rsidR="00EC1311">
        <w:t xml:space="preserve"> </w:t>
      </w:r>
      <w:r>
        <w:t>Recycling efficiency is likely to be high (around 90</w:t>
      </w:r>
      <w:r w:rsidR="00AC27F5">
        <w:t xml:space="preserve"> per cent</w:t>
      </w:r>
      <w:r>
        <w:t>) for reputable service agents</w:t>
      </w:r>
      <w:r w:rsidR="005E1657">
        <w:t>. However,</w:t>
      </w:r>
      <w:r>
        <w:t xml:space="preserve"> in the absence of consistent information for New Zealand, the default assumption is 0</w:t>
      </w:r>
      <w:r w:rsidR="00AC27F5">
        <w:t xml:space="preserve"> per cent</w:t>
      </w:r>
      <w:r>
        <w:t xml:space="preserve"> recycling/destruction of the remaining charge in all sectors.</w:t>
      </w:r>
      <w:r w:rsidRPr="00AD4B25">
        <w:t xml:space="preserve"> </w:t>
      </w:r>
      <w:r w:rsidR="005E1657">
        <w:t>T</w:t>
      </w:r>
      <w:r w:rsidRPr="00BB6726">
        <w:t>here is no current justification for applying a lower default emission factor to any sector to reflect refrigerant gas collection for destruction.</w:t>
      </w:r>
      <w:r w:rsidR="00EC1311">
        <w:t xml:space="preserve"> </w:t>
      </w:r>
      <w:r w:rsidRPr="00BB6726">
        <w:t>Refrigerants are often recycled within various sectors but the quantity currently shipped to Australia for destruction is relatively small.</w:t>
      </w:r>
    </w:p>
    <w:p w:rsidR="009E3385" w:rsidRDefault="009E3385" w:rsidP="00D73F9D"/>
    <w:p w:rsidR="009E3385" w:rsidRPr="002477CB" w:rsidRDefault="009E3385" w:rsidP="007D0ACA">
      <w:pPr>
        <w:pStyle w:val="Heading4"/>
        <w:jc w:val="left"/>
      </w:pPr>
      <w:r w:rsidRPr="002477CB">
        <w:t xml:space="preserve">Example </w:t>
      </w:r>
      <w:r>
        <w:t>c</w:t>
      </w:r>
      <w:r w:rsidRPr="002477CB">
        <w:t>alculations</w:t>
      </w:r>
    </w:p>
    <w:p w:rsidR="00EC1311" w:rsidRDefault="009E3385" w:rsidP="007D0ACA">
      <w:pPr>
        <w:jc w:val="left"/>
      </w:pPr>
      <w:r>
        <w:t>A detailed example has been provided below.</w:t>
      </w:r>
    </w:p>
    <w:p w:rsidR="009E3385" w:rsidRDefault="009E3385" w:rsidP="007D0ACA">
      <w:pPr>
        <w:jc w:val="left"/>
      </w:pPr>
    </w:p>
    <w:p w:rsidR="00EC1311" w:rsidRDefault="009E3385" w:rsidP="007D0ACA">
      <w:pPr>
        <w:jc w:val="left"/>
      </w:pPr>
      <w:r>
        <w:t>Company A performs a stocktake of refrigeration-related equipment and identifies the following units:</w:t>
      </w:r>
    </w:p>
    <w:p w:rsidR="00EC1311" w:rsidRDefault="009E3385" w:rsidP="007D0ACA">
      <w:pPr>
        <w:pStyle w:val="Bullet"/>
        <w:jc w:val="left"/>
      </w:pPr>
      <w:r>
        <w:t>two office refrigerators</w:t>
      </w:r>
    </w:p>
    <w:p w:rsidR="00EC1311" w:rsidRDefault="009E3385" w:rsidP="007D0ACA">
      <w:pPr>
        <w:pStyle w:val="Bullet"/>
        <w:jc w:val="left"/>
      </w:pPr>
      <w:r>
        <w:t>one large commercial</w:t>
      </w:r>
      <w:r w:rsidR="00535485">
        <w:t>-</w:t>
      </w:r>
      <w:r>
        <w:t>sized refrigerator</w:t>
      </w:r>
    </w:p>
    <w:p w:rsidR="00EC1311" w:rsidRDefault="009E3385" w:rsidP="007D0ACA">
      <w:pPr>
        <w:pStyle w:val="Bullet"/>
        <w:jc w:val="left"/>
      </w:pPr>
      <w:r>
        <w:t>one air conditioning unit (which is retired in the reporting year and replaced by a new model)</w:t>
      </w:r>
    </w:p>
    <w:p w:rsidR="00EC1311" w:rsidRDefault="009E3385" w:rsidP="007D0ACA">
      <w:pPr>
        <w:pStyle w:val="Bullet"/>
        <w:jc w:val="left"/>
      </w:pPr>
      <w:r>
        <w:t>two mobile air</w:t>
      </w:r>
      <w:r w:rsidR="00535485">
        <w:t>-</w:t>
      </w:r>
      <w:r>
        <w:t>conditioning (MAC) units in the company</w:t>
      </w:r>
      <w:r w:rsidR="00535485">
        <w:t>-</w:t>
      </w:r>
      <w:r>
        <w:t>owned car and delivery truck</w:t>
      </w:r>
    </w:p>
    <w:p w:rsidR="00EC1311" w:rsidRDefault="009E3385" w:rsidP="007D0ACA">
      <w:pPr>
        <w:pStyle w:val="Bullet"/>
        <w:jc w:val="left"/>
      </w:pPr>
      <w:r>
        <w:t>one delivery truck owned by the company</w:t>
      </w:r>
    </w:p>
    <w:p w:rsidR="009E3385" w:rsidRDefault="009E3385" w:rsidP="007D0ACA">
      <w:pPr>
        <w:pStyle w:val="Bullet"/>
        <w:jc w:val="left"/>
      </w:pPr>
      <w:r>
        <w:t>two external delivery trucks operated by another company, but included in Scope 3 emissions.</w:t>
      </w:r>
    </w:p>
    <w:p w:rsidR="009E3385" w:rsidRDefault="009E3385" w:rsidP="007D0ACA">
      <w:pPr>
        <w:jc w:val="left"/>
      </w:pPr>
    </w:p>
    <w:p w:rsidR="00EC1311" w:rsidRDefault="009E3385" w:rsidP="007D0ACA">
      <w:pPr>
        <w:jc w:val="left"/>
      </w:pPr>
      <w:r>
        <w:t xml:space="preserve">To assess </w:t>
      </w:r>
      <w:r w:rsidR="003B18D1">
        <w:t>its</w:t>
      </w:r>
      <w:r>
        <w:t xml:space="preserve"> emissions, the company takes the following approach for each type of equipment.</w:t>
      </w:r>
    </w:p>
    <w:p w:rsidR="009E3385" w:rsidRDefault="009E3385" w:rsidP="00AC27F5"/>
    <w:p w:rsidR="00EC1311" w:rsidRPr="00AC27F5" w:rsidRDefault="009E3385" w:rsidP="007D0ACA">
      <w:pPr>
        <w:spacing w:after="120"/>
        <w:jc w:val="left"/>
        <w:rPr>
          <w:rFonts w:ascii="Arial" w:hAnsi="Arial" w:cs="Arial"/>
          <w:b/>
        </w:rPr>
      </w:pPr>
      <w:r w:rsidRPr="00AC27F5">
        <w:rPr>
          <w:rFonts w:ascii="Arial" w:hAnsi="Arial" w:cs="Arial"/>
          <w:b/>
        </w:rPr>
        <w:t>Two office refrigerators</w:t>
      </w:r>
    </w:p>
    <w:p w:rsidR="00EC1311" w:rsidRDefault="009E3385" w:rsidP="007D0ACA">
      <w:pPr>
        <w:jc w:val="left"/>
      </w:pPr>
      <w:r w:rsidRPr="00504E91">
        <w:t xml:space="preserve">Method B </w:t>
      </w:r>
      <w:r>
        <w:t xml:space="preserve">is the recommended </w:t>
      </w:r>
      <w:r w:rsidRPr="00504E91">
        <w:t xml:space="preserve">approach </w:t>
      </w:r>
      <w:r>
        <w:t>and is</w:t>
      </w:r>
      <w:r w:rsidRPr="00504E91">
        <w:t xml:space="preserve"> relatively easy for newer equipment in this sector because compliance plates for refrigerators and freezers are nearly always accessible inside the </w:t>
      </w:r>
      <w:r>
        <w:t>fridge</w:t>
      </w:r>
      <w:r w:rsidRPr="00504E91">
        <w:t>.</w:t>
      </w:r>
      <w:r w:rsidR="00EC1311">
        <w:t xml:space="preserve"> </w:t>
      </w:r>
      <w:r>
        <w:t>(</w:t>
      </w:r>
      <w:r w:rsidRPr="00504E91">
        <w:t>Alternatively, a Method C approach is acceptable</w:t>
      </w:r>
      <w:r>
        <w:t>, though less accurate,</w:t>
      </w:r>
      <w:r w:rsidRPr="00504E91">
        <w:t xml:space="preserve"> for refrigerant charges based on </w:t>
      </w:r>
      <w:r w:rsidR="00EB1450">
        <w:t>table</w:t>
      </w:r>
      <w:r w:rsidRPr="00504E91">
        <w:t xml:space="preserve"> 1</w:t>
      </w:r>
      <w:r w:rsidR="00AC27F5">
        <w:t>.</w:t>
      </w:r>
      <w:r>
        <w:t>)</w:t>
      </w:r>
    </w:p>
    <w:p w:rsidR="009E3385" w:rsidRDefault="009E3385" w:rsidP="007D0ACA">
      <w:pPr>
        <w:jc w:val="left"/>
      </w:pPr>
    </w:p>
    <w:p w:rsidR="009E3385" w:rsidRDefault="009E3385" w:rsidP="007D0ACA">
      <w:pPr>
        <w:jc w:val="left"/>
      </w:pPr>
      <w:r w:rsidRPr="00504E91">
        <w:t>Compliance plates inside the two large refrigerators confirm the refrigerant is R134A and the refrigerant amounts are 0.17</w:t>
      </w:r>
      <w:r w:rsidR="00AC27F5">
        <w:t> </w:t>
      </w:r>
      <w:r w:rsidRPr="00504E91">
        <w:t>kg each</w:t>
      </w:r>
      <w:r>
        <w:t>.</w:t>
      </w:r>
    </w:p>
    <w:p w:rsidR="009E3385" w:rsidRDefault="009E3385" w:rsidP="007D0ACA">
      <w:pPr>
        <w:spacing w:before="240"/>
        <w:jc w:val="left"/>
      </w:pPr>
      <w:r>
        <w:lastRenderedPageBreak/>
        <w:t>Using Method B approach</w:t>
      </w:r>
      <w:r w:rsidR="00AC27F5">
        <w:t>:</w:t>
      </w:r>
    </w:p>
    <w:p w:rsidR="009E3385" w:rsidRPr="00EC1311" w:rsidRDefault="009E3385" w:rsidP="007D0ACA">
      <w:pPr>
        <w:spacing w:before="120"/>
        <w:ind w:left="397"/>
        <w:jc w:val="left"/>
      </w:pPr>
      <w:r w:rsidRPr="00EC1311">
        <w:t>E = (IE + OE + DE) x GWP</w:t>
      </w:r>
    </w:p>
    <w:p w:rsidR="00EC1311" w:rsidRDefault="009E3385" w:rsidP="007D0ACA">
      <w:pPr>
        <w:spacing w:before="120"/>
        <w:ind w:left="397"/>
        <w:jc w:val="left"/>
      </w:pPr>
      <w:r w:rsidRPr="00EC1311">
        <w:t xml:space="preserve">E = 2(0 + (0.17 x </w:t>
      </w:r>
      <w:r w:rsidRPr="000F3D3B">
        <w:t>3/100</w:t>
      </w:r>
      <w:r>
        <w:t xml:space="preserve">) + 0) x </w:t>
      </w:r>
      <w:r w:rsidR="001B333A">
        <w:t>1430</w:t>
      </w:r>
    </w:p>
    <w:p w:rsidR="009E3385" w:rsidRDefault="009E3385" w:rsidP="007D0ACA">
      <w:pPr>
        <w:spacing w:before="120"/>
        <w:ind w:left="397"/>
        <w:jc w:val="left"/>
      </w:pPr>
      <w:r>
        <w:t xml:space="preserve">E = 2(0+0.0051+0) x </w:t>
      </w:r>
      <w:r w:rsidR="001B333A">
        <w:t>1430</w:t>
      </w:r>
    </w:p>
    <w:p w:rsidR="009E3385" w:rsidRPr="00C40D71" w:rsidRDefault="009E3385" w:rsidP="007D0ACA">
      <w:pPr>
        <w:spacing w:before="120"/>
        <w:ind w:left="397"/>
        <w:jc w:val="left"/>
        <w:rPr>
          <w:b/>
        </w:rPr>
      </w:pPr>
      <w:r>
        <w:t xml:space="preserve">E = </w:t>
      </w:r>
      <w:r w:rsidRPr="00754DB5">
        <w:rPr>
          <w:b/>
        </w:rPr>
        <w:t>1</w:t>
      </w:r>
      <w:r w:rsidR="009C2ACE">
        <w:rPr>
          <w:b/>
        </w:rPr>
        <w:t>5</w:t>
      </w:r>
      <w:r w:rsidRPr="00754DB5">
        <w:rPr>
          <w:b/>
        </w:rPr>
        <w:t xml:space="preserve"> </w:t>
      </w:r>
      <w:r>
        <w:rPr>
          <w:b/>
        </w:rPr>
        <w:t>kg</w:t>
      </w:r>
      <w:r w:rsidRPr="00C40D71">
        <w:rPr>
          <w:b/>
        </w:rPr>
        <w:t xml:space="preserve"> CO</w:t>
      </w:r>
      <w:r w:rsidRPr="00C40D71">
        <w:rPr>
          <w:b/>
          <w:vertAlign w:val="subscript"/>
        </w:rPr>
        <w:t>2</w:t>
      </w:r>
      <w:r w:rsidRPr="00C40D71">
        <w:rPr>
          <w:b/>
        </w:rPr>
        <w:t>-e</w:t>
      </w:r>
    </w:p>
    <w:p w:rsidR="009E3385" w:rsidRDefault="009E3385" w:rsidP="007D0ACA">
      <w:pPr>
        <w:jc w:val="left"/>
      </w:pPr>
    </w:p>
    <w:p w:rsidR="00EC1311" w:rsidRDefault="009E3385" w:rsidP="007D0ACA">
      <w:pPr>
        <w:spacing w:after="120"/>
        <w:jc w:val="left"/>
        <w:rPr>
          <w:rFonts w:ascii="Arial" w:hAnsi="Arial" w:cs="Arial"/>
          <w:b/>
        </w:rPr>
      </w:pPr>
      <w:r w:rsidRPr="00322AEA">
        <w:rPr>
          <w:rFonts w:ascii="Arial" w:hAnsi="Arial" w:cs="Arial"/>
          <w:b/>
        </w:rPr>
        <w:t>One large commercial</w:t>
      </w:r>
      <w:r w:rsidR="00414C19">
        <w:rPr>
          <w:rFonts w:ascii="Arial" w:hAnsi="Arial" w:cs="Arial"/>
          <w:b/>
        </w:rPr>
        <w:t>-</w:t>
      </w:r>
      <w:r w:rsidRPr="00322AEA">
        <w:rPr>
          <w:rFonts w:ascii="Arial" w:hAnsi="Arial" w:cs="Arial"/>
          <w:b/>
        </w:rPr>
        <w:t>sized refrigerator</w:t>
      </w:r>
    </w:p>
    <w:p w:rsidR="00EC1311" w:rsidRDefault="009E3385" w:rsidP="007D0ACA">
      <w:pPr>
        <w:jc w:val="left"/>
      </w:pPr>
      <w:r w:rsidRPr="00504E91">
        <w:t xml:space="preserve">Method A </w:t>
      </w:r>
      <w:r>
        <w:t xml:space="preserve">is the recommended </w:t>
      </w:r>
      <w:r w:rsidRPr="00504E91">
        <w:t>approach</w:t>
      </w:r>
      <w:r>
        <w:t xml:space="preserve"> to capture the significant l</w:t>
      </w:r>
      <w:r w:rsidRPr="00504E91">
        <w:t>eakage rates</w:t>
      </w:r>
      <w:r>
        <w:t xml:space="preserve"> for commercial</w:t>
      </w:r>
      <w:r w:rsidR="00414C19">
        <w:t>-</w:t>
      </w:r>
      <w:r>
        <w:t xml:space="preserve">sized refrigerators. The </w:t>
      </w:r>
      <w:r w:rsidR="00AC27F5">
        <w:t>c</w:t>
      </w:r>
      <w:r>
        <w:t>ompany</w:t>
      </w:r>
      <w:r w:rsidR="00EC1311">
        <w:t>’</w:t>
      </w:r>
      <w:r>
        <w:t xml:space="preserve">s </w:t>
      </w:r>
      <w:r w:rsidRPr="00504E91">
        <w:t xml:space="preserve">service agents </w:t>
      </w:r>
      <w:r>
        <w:t>have</w:t>
      </w:r>
      <w:r w:rsidRPr="00504E91">
        <w:t xml:space="preserve"> maintain</w:t>
      </w:r>
      <w:r>
        <w:t>ed</w:t>
      </w:r>
      <w:r w:rsidRPr="00504E91">
        <w:t xml:space="preserve"> refrigerant top-up records for each piece of equipment</w:t>
      </w:r>
      <w:r>
        <w:t xml:space="preserve"> at the </w:t>
      </w:r>
      <w:r w:rsidR="00AC27F5">
        <w:t>c</w:t>
      </w:r>
      <w:r>
        <w:t>ompany</w:t>
      </w:r>
      <w:r w:rsidR="00EC1311">
        <w:t>’</w:t>
      </w:r>
      <w:r>
        <w:t>s request</w:t>
      </w:r>
      <w:r w:rsidRPr="00504E91">
        <w:t>.</w:t>
      </w:r>
    </w:p>
    <w:p w:rsidR="009E3385" w:rsidRPr="00504E91" w:rsidRDefault="009E3385" w:rsidP="007D0ACA">
      <w:pPr>
        <w:jc w:val="left"/>
      </w:pPr>
    </w:p>
    <w:p w:rsidR="00EC1311" w:rsidRDefault="009E3385" w:rsidP="007D0ACA">
      <w:pPr>
        <w:jc w:val="left"/>
      </w:pPr>
      <w:r>
        <w:t xml:space="preserve">The </w:t>
      </w:r>
      <w:r w:rsidRPr="00504E91">
        <w:t xml:space="preserve">large </w:t>
      </w:r>
      <w:r>
        <w:t>commercial refrigerator unit</w:t>
      </w:r>
      <w:r w:rsidRPr="00504E91">
        <w:t xml:space="preserve"> </w:t>
      </w:r>
      <w:r>
        <w:t xml:space="preserve">uses </w:t>
      </w:r>
      <w:r w:rsidRPr="00504E91">
        <w:t xml:space="preserve">R404A </w:t>
      </w:r>
      <w:r>
        <w:t>refrigerant and the compliance plates show the refrigerant amount is 1.7</w:t>
      </w:r>
      <w:r w:rsidR="00AC27F5">
        <w:t> </w:t>
      </w:r>
      <w:r>
        <w:t>kg. Maintenance records for the refrigeration unit show it has been topped up by the service agent during the year with 0.32</w:t>
      </w:r>
      <w:r w:rsidR="00AC27F5">
        <w:t> </w:t>
      </w:r>
      <w:r>
        <w:t>kg.</w:t>
      </w:r>
    </w:p>
    <w:p w:rsidR="009E3385" w:rsidRDefault="009E3385" w:rsidP="007D0ACA">
      <w:pPr>
        <w:jc w:val="left"/>
      </w:pPr>
    </w:p>
    <w:p w:rsidR="009E3385" w:rsidRDefault="009E3385" w:rsidP="007D0ACA">
      <w:pPr>
        <w:jc w:val="left"/>
      </w:pPr>
      <w:r>
        <w:t>Using Method A</w:t>
      </w:r>
      <w:r w:rsidR="00AC27F5">
        <w:t>:</w:t>
      </w:r>
    </w:p>
    <w:p w:rsidR="009E3385" w:rsidRDefault="009E3385" w:rsidP="007D0ACA">
      <w:pPr>
        <w:spacing w:before="120"/>
        <w:ind w:left="397"/>
        <w:jc w:val="left"/>
      </w:pPr>
      <w:r>
        <w:t>E = (IE + S + DE) x GWP</w:t>
      </w:r>
    </w:p>
    <w:p w:rsidR="009E3385" w:rsidRDefault="009E3385" w:rsidP="007D0ACA">
      <w:pPr>
        <w:spacing w:before="120"/>
        <w:ind w:left="397"/>
        <w:jc w:val="left"/>
      </w:pPr>
      <w:r>
        <w:t xml:space="preserve">E= (0 + 0.32 + 0) x </w:t>
      </w:r>
      <w:r w:rsidR="009C2ACE">
        <w:t>3922</w:t>
      </w:r>
    </w:p>
    <w:p w:rsidR="00952ABD" w:rsidRDefault="009E3385" w:rsidP="007D0ACA">
      <w:pPr>
        <w:spacing w:before="120"/>
        <w:ind w:left="397"/>
        <w:jc w:val="left"/>
      </w:pPr>
      <w:r w:rsidRPr="00AC27F5">
        <w:t xml:space="preserve">E= </w:t>
      </w:r>
      <w:r>
        <w:rPr>
          <w:b/>
        </w:rPr>
        <w:t>1</w:t>
      </w:r>
      <w:r w:rsidR="0022535C">
        <w:rPr>
          <w:b/>
        </w:rPr>
        <w:t>255</w:t>
      </w:r>
      <w:r w:rsidRPr="00EC73D8">
        <w:rPr>
          <w:b/>
        </w:rPr>
        <w:t xml:space="preserve"> </w:t>
      </w:r>
      <w:r>
        <w:rPr>
          <w:b/>
        </w:rPr>
        <w:t>kg</w:t>
      </w:r>
      <w:r w:rsidRPr="00EC73D8">
        <w:rPr>
          <w:b/>
        </w:rPr>
        <w:t xml:space="preserve"> CO</w:t>
      </w:r>
      <w:r w:rsidRPr="00EC73D8">
        <w:rPr>
          <w:b/>
          <w:vertAlign w:val="subscript"/>
        </w:rPr>
        <w:t>2</w:t>
      </w:r>
      <w:r w:rsidRPr="00EC73D8">
        <w:rPr>
          <w:b/>
        </w:rPr>
        <w:t>-e</w:t>
      </w:r>
    </w:p>
    <w:p w:rsidR="009E3385" w:rsidRPr="00504E91" w:rsidRDefault="009E3385" w:rsidP="007D0ACA">
      <w:pPr>
        <w:jc w:val="left"/>
      </w:pPr>
    </w:p>
    <w:p w:rsidR="00EC1311" w:rsidRPr="00BE6190" w:rsidRDefault="009E3385" w:rsidP="007D0ACA">
      <w:pPr>
        <w:pStyle w:val="Heading4"/>
        <w:spacing w:before="120"/>
        <w:jc w:val="left"/>
        <w:rPr>
          <w:sz w:val="22"/>
        </w:rPr>
      </w:pPr>
      <w:r w:rsidRPr="00BE6190">
        <w:rPr>
          <w:sz w:val="22"/>
        </w:rPr>
        <w:t>One commercial air</w:t>
      </w:r>
      <w:r w:rsidR="00414C19" w:rsidRPr="00BE6190">
        <w:rPr>
          <w:sz w:val="22"/>
        </w:rPr>
        <w:t>-</w:t>
      </w:r>
      <w:r w:rsidRPr="00BE6190">
        <w:rPr>
          <w:sz w:val="22"/>
        </w:rPr>
        <w:t>conditioning unit</w:t>
      </w:r>
    </w:p>
    <w:p w:rsidR="00EC1311" w:rsidRDefault="009E3385" w:rsidP="007D0ACA">
      <w:pPr>
        <w:jc w:val="left"/>
      </w:pPr>
      <w:r w:rsidRPr="00504E91">
        <w:t xml:space="preserve">Method A is recommended for all </w:t>
      </w:r>
      <w:r>
        <w:t>commercial air</w:t>
      </w:r>
      <w:r w:rsidR="00414C19">
        <w:t>-</w:t>
      </w:r>
      <w:r>
        <w:t xml:space="preserve">conditioning </w:t>
      </w:r>
      <w:r w:rsidRPr="00504E91">
        <w:t>units with the cooperation of service agents.</w:t>
      </w:r>
      <w:r w:rsidR="00EC1311">
        <w:t xml:space="preserve"> </w:t>
      </w:r>
      <w:r w:rsidRPr="00504E91">
        <w:t>Method B would be acceptable for all systems up to 20</w:t>
      </w:r>
      <w:r w:rsidR="00AC27F5">
        <w:t> </w:t>
      </w:r>
      <w:r w:rsidRPr="00504E91">
        <w:t>kW but above that rating, refrigerant amounts and leakage rates are so site</w:t>
      </w:r>
      <w:r w:rsidR="00414C19">
        <w:t>-</w:t>
      </w:r>
      <w:r w:rsidRPr="00504E91">
        <w:t>specific there is no acceptable alternative to a Method A approach.</w:t>
      </w:r>
      <w:r w:rsidR="00EC1311">
        <w:t xml:space="preserve"> </w:t>
      </w:r>
      <w:r w:rsidRPr="00504E91">
        <w:t>Method C could be used as a screening test (</w:t>
      </w:r>
      <w:r w:rsidR="00EB1450">
        <w:t>table</w:t>
      </w:r>
      <w:r w:rsidRPr="00504E91">
        <w:t xml:space="preserve"> 1) where the HFC refrigerant amount is not specified and the cooling capacity (up to 20</w:t>
      </w:r>
      <w:r w:rsidR="00AC27F5">
        <w:t> </w:t>
      </w:r>
      <w:r w:rsidRPr="00504E91">
        <w:t>kW) is known.</w:t>
      </w:r>
    </w:p>
    <w:p w:rsidR="009E3385" w:rsidRPr="00504E91" w:rsidRDefault="009E3385" w:rsidP="007D0ACA">
      <w:pPr>
        <w:jc w:val="left"/>
      </w:pPr>
    </w:p>
    <w:p w:rsidR="009E3385" w:rsidRPr="00504E91" w:rsidRDefault="009E3385" w:rsidP="007D0ACA">
      <w:pPr>
        <w:jc w:val="left"/>
      </w:pPr>
      <w:r w:rsidRPr="00504E91">
        <w:t xml:space="preserve">The </w:t>
      </w:r>
      <w:r>
        <w:t xml:space="preserve">old </w:t>
      </w:r>
      <w:r w:rsidRPr="00504E91">
        <w:t>air</w:t>
      </w:r>
      <w:r w:rsidR="00414C19">
        <w:t>-</w:t>
      </w:r>
      <w:r w:rsidRPr="00504E91">
        <w:t xml:space="preserve">conditioning system for </w:t>
      </w:r>
      <w:r>
        <w:t>the company</w:t>
      </w:r>
      <w:r w:rsidR="00EC1311">
        <w:t>’</w:t>
      </w:r>
      <w:r>
        <w:t>s building</w:t>
      </w:r>
      <w:r w:rsidRPr="00504E91">
        <w:t xml:space="preserve"> (using R407C HFC refrigerant</w:t>
      </w:r>
      <w:r>
        <w:t xml:space="preserve"> </w:t>
      </w:r>
      <w:r w:rsidR="00414C19">
        <w:t>[</w:t>
      </w:r>
      <w:r>
        <w:t xml:space="preserve">GWP </w:t>
      </w:r>
      <w:r w:rsidR="003E4D31">
        <w:t>1774</w:t>
      </w:r>
      <w:r w:rsidR="00414C19">
        <w:t>]</w:t>
      </w:r>
      <w:r w:rsidRPr="00504E91">
        <w:t xml:space="preserve">) was retired and replaced in August of the </w:t>
      </w:r>
      <w:r>
        <w:t xml:space="preserve">2007 </w:t>
      </w:r>
      <w:r w:rsidRPr="00504E91">
        <w:t>reporting (calendar) year</w:t>
      </w:r>
      <w:r>
        <w:t>.</w:t>
      </w:r>
      <w:r w:rsidRPr="00504E91">
        <w:t xml:space="preserve"> The service agent did the annual servicing in January</w:t>
      </w:r>
      <w:r>
        <w:t xml:space="preserve"> 2007,</w:t>
      </w:r>
      <w:r w:rsidRPr="00504E91">
        <w:t xml:space="preserve"> topping up the old system with 1.1</w:t>
      </w:r>
      <w:r w:rsidR="00AC27F5">
        <w:t> </w:t>
      </w:r>
      <w:r w:rsidRPr="00504E91">
        <w:t>kg R407C to return it to the full charge of 8.5</w:t>
      </w:r>
      <w:r w:rsidR="00AC27F5">
        <w:t> </w:t>
      </w:r>
      <w:r w:rsidRPr="00504E91">
        <w:t>kg (a high annual leakage rate of 13</w:t>
      </w:r>
      <w:r w:rsidR="00AC27F5">
        <w:t> per cent</w:t>
      </w:r>
      <w:r w:rsidRPr="00504E91">
        <w:t>).</w:t>
      </w:r>
      <w:r w:rsidR="00EC1311">
        <w:t xml:space="preserve"> </w:t>
      </w:r>
      <w:r w:rsidRPr="00504E91">
        <w:t>This represents the leakage for the current accounting year even though most of it would have occurred in the previous year.</w:t>
      </w:r>
      <w:r w:rsidR="00EC1311">
        <w:t xml:space="preserve"> </w:t>
      </w:r>
      <w:r>
        <w:t>The service agent records show that</w:t>
      </w:r>
      <w:r w:rsidRPr="00504E91">
        <w:t xml:space="preserve"> 6.8</w:t>
      </w:r>
      <w:r w:rsidR="00AC27F5">
        <w:t> </w:t>
      </w:r>
      <w:r w:rsidRPr="00504E91">
        <w:t>kg (80</w:t>
      </w:r>
      <w:r w:rsidR="00AC27F5">
        <w:t xml:space="preserve"> per cent</w:t>
      </w:r>
      <w:r w:rsidRPr="00504E91">
        <w:t>) of the original charge in the old equipment was collected for destruction (because its quality was too degraded for recycling)</w:t>
      </w:r>
      <w:r w:rsidR="00AC27F5">
        <w:t>.</w:t>
      </w:r>
      <w:r w:rsidRPr="00AC27F5">
        <w:rPr>
          <w:rStyle w:val="FootnoteReference"/>
        </w:rPr>
        <w:footnoteReference w:id="23"/>
      </w:r>
    </w:p>
    <w:p w:rsidR="009E3385" w:rsidRPr="00504E91" w:rsidRDefault="009E3385" w:rsidP="007D0ACA">
      <w:pPr>
        <w:jc w:val="left"/>
      </w:pPr>
    </w:p>
    <w:p w:rsidR="009E3385" w:rsidRDefault="009E3385" w:rsidP="007D0ACA">
      <w:pPr>
        <w:jc w:val="left"/>
      </w:pPr>
      <w:r w:rsidRPr="00504E91">
        <w:t>The</w:t>
      </w:r>
      <w:r>
        <w:t xml:space="preserve"> service agent records show that 7.1</w:t>
      </w:r>
      <w:r w:rsidR="00AC27F5">
        <w:t> </w:t>
      </w:r>
      <w:r>
        <w:t>kg of R410A was used to fill the new air</w:t>
      </w:r>
      <w:r w:rsidR="00414C19">
        <w:t>-</w:t>
      </w:r>
      <w:r>
        <w:t>conditioning system. The full charge of the system is 7.0</w:t>
      </w:r>
      <w:r w:rsidR="00AC27F5">
        <w:t> </w:t>
      </w:r>
      <w:r>
        <w:t xml:space="preserve">kg of R410A (GWP </w:t>
      </w:r>
      <w:r w:rsidR="003E4D31">
        <w:t>2088</w:t>
      </w:r>
      <w:r>
        <w:t>). Therefore</w:t>
      </w:r>
      <w:r w:rsidRPr="00504E91">
        <w:t xml:space="preserve"> 0.1</w:t>
      </w:r>
      <w:r w:rsidR="00AC27F5">
        <w:t> </w:t>
      </w:r>
      <w:r w:rsidRPr="00504E91">
        <w:t xml:space="preserve">kg </w:t>
      </w:r>
      <w:r>
        <w:t xml:space="preserve">of R401A </w:t>
      </w:r>
      <w:r w:rsidRPr="00504E91">
        <w:t>was lost during installation</w:t>
      </w:r>
      <w:r>
        <w:t>. No top</w:t>
      </w:r>
      <w:r w:rsidR="00414C19">
        <w:t>-</w:t>
      </w:r>
      <w:r>
        <w:t>up was required in the reporting year for the new system.</w:t>
      </w:r>
      <w:r w:rsidR="00EC1311">
        <w:t xml:space="preserve"> </w:t>
      </w:r>
      <w:r w:rsidRPr="00504E91">
        <w:t>Any leakage from August to December would not be accounted for until the following year if it is not topped up until the following January</w:t>
      </w:r>
      <w:r>
        <w:t>.</w:t>
      </w:r>
    </w:p>
    <w:p w:rsidR="009E3385" w:rsidRDefault="009E3385" w:rsidP="007D0ACA">
      <w:pPr>
        <w:jc w:val="left"/>
      </w:pPr>
    </w:p>
    <w:p w:rsidR="009E3385" w:rsidRPr="00504E91" w:rsidRDefault="009E3385" w:rsidP="007D0ACA">
      <w:pPr>
        <w:keepNext/>
        <w:jc w:val="left"/>
      </w:pPr>
      <w:r>
        <w:lastRenderedPageBreak/>
        <w:t>Using Method A approach</w:t>
      </w:r>
      <w:r w:rsidR="00AC27F5">
        <w:t>:</w:t>
      </w:r>
    </w:p>
    <w:p w:rsidR="00EC1311" w:rsidRDefault="009E3385" w:rsidP="007D0ACA">
      <w:pPr>
        <w:spacing w:before="120"/>
        <w:ind w:left="397"/>
        <w:jc w:val="left"/>
      </w:pPr>
      <w:r>
        <w:t>E = (IE +S+DE) x GWP</w:t>
      </w:r>
      <w:r w:rsidRPr="00AC27F5">
        <w:rPr>
          <w:rStyle w:val="FootnoteReference"/>
        </w:rPr>
        <w:footnoteReference w:id="24"/>
      </w:r>
    </w:p>
    <w:p w:rsidR="009E3385" w:rsidRPr="00E83A7A" w:rsidRDefault="009E3385" w:rsidP="007D0ACA">
      <w:pPr>
        <w:spacing w:before="240" w:after="60"/>
        <w:jc w:val="left"/>
      </w:pPr>
      <w:r w:rsidRPr="00FF69DB">
        <w:rPr>
          <w:i/>
        </w:rPr>
        <w:t xml:space="preserve">Installation </w:t>
      </w:r>
      <w:r w:rsidR="00AC27F5">
        <w:rPr>
          <w:i/>
        </w:rPr>
        <w:t>e</w:t>
      </w:r>
      <w:r w:rsidRPr="00FF69DB">
        <w:rPr>
          <w:i/>
        </w:rPr>
        <w:t>missions</w:t>
      </w:r>
      <w:r>
        <w:t xml:space="preserve"> (IE)</w:t>
      </w:r>
      <w:r w:rsidRPr="00E83A7A">
        <w:t xml:space="preserve"> = refrigerant used to charge new equipment – total full charge of new equipment</w:t>
      </w:r>
    </w:p>
    <w:p w:rsidR="009E3385" w:rsidRDefault="009E3385" w:rsidP="007D0ACA">
      <w:pPr>
        <w:ind w:left="397"/>
        <w:jc w:val="left"/>
      </w:pPr>
      <w:r w:rsidRPr="00E83A7A">
        <w:t xml:space="preserve">= (7.1 – 7.0) x </w:t>
      </w:r>
      <w:r w:rsidR="000751AC">
        <w:t>2088</w:t>
      </w:r>
    </w:p>
    <w:p w:rsidR="009E3385" w:rsidRPr="00E83A7A" w:rsidRDefault="009E3385" w:rsidP="007D0ACA">
      <w:pPr>
        <w:spacing w:before="60"/>
        <w:ind w:left="397"/>
        <w:jc w:val="left"/>
      </w:pPr>
      <w:r>
        <w:t xml:space="preserve">= </w:t>
      </w:r>
      <w:r w:rsidR="000751AC">
        <w:t>209</w:t>
      </w:r>
      <w:r w:rsidRPr="00E83A7A">
        <w:t xml:space="preserve"> </w:t>
      </w:r>
      <w:r>
        <w:t>kg</w:t>
      </w:r>
      <w:r w:rsidRPr="00E83A7A">
        <w:t xml:space="preserve"> CO</w:t>
      </w:r>
      <w:r w:rsidRPr="00E83A7A">
        <w:rPr>
          <w:vertAlign w:val="subscript"/>
        </w:rPr>
        <w:t>2</w:t>
      </w:r>
      <w:r w:rsidRPr="00E83A7A">
        <w:t>-e</w:t>
      </w:r>
    </w:p>
    <w:p w:rsidR="009E3385" w:rsidRPr="00E83A7A" w:rsidRDefault="009E3385" w:rsidP="007D0ACA">
      <w:pPr>
        <w:spacing w:before="240" w:after="60"/>
        <w:jc w:val="left"/>
        <w:rPr>
          <w:color w:val="000000"/>
        </w:rPr>
      </w:pPr>
      <w:r w:rsidRPr="00FF69DB">
        <w:rPr>
          <w:i/>
          <w:color w:val="000000"/>
        </w:rPr>
        <w:t xml:space="preserve">Servicing </w:t>
      </w:r>
      <w:r w:rsidR="00AC27F5">
        <w:rPr>
          <w:i/>
          <w:color w:val="000000"/>
        </w:rPr>
        <w:t>e</w:t>
      </w:r>
      <w:r w:rsidRPr="00FF69DB">
        <w:rPr>
          <w:i/>
          <w:color w:val="000000"/>
        </w:rPr>
        <w:t>missions</w:t>
      </w:r>
      <w:r w:rsidRPr="00E83A7A">
        <w:rPr>
          <w:color w:val="000000"/>
        </w:rPr>
        <w:t xml:space="preserve"> (S) = quantity of refrigerant used to service </w:t>
      </w:r>
      <w:r>
        <w:rPr>
          <w:color w:val="000000"/>
        </w:rPr>
        <w:t xml:space="preserve">old </w:t>
      </w:r>
      <w:r w:rsidRPr="00E83A7A">
        <w:rPr>
          <w:color w:val="000000"/>
        </w:rPr>
        <w:t>equipment</w:t>
      </w:r>
    </w:p>
    <w:p w:rsidR="009E3385" w:rsidRPr="00E83A7A" w:rsidRDefault="009E3385" w:rsidP="007D0ACA">
      <w:pPr>
        <w:ind w:left="397"/>
        <w:jc w:val="left"/>
      </w:pPr>
      <w:r w:rsidRPr="00E83A7A">
        <w:t>= 1.1 x</w:t>
      </w:r>
      <w:r>
        <w:t xml:space="preserve"> </w:t>
      </w:r>
      <w:r w:rsidR="000751AC">
        <w:t>1774</w:t>
      </w:r>
    </w:p>
    <w:p w:rsidR="009E3385" w:rsidRPr="00E83A7A" w:rsidRDefault="009E3385" w:rsidP="007D0ACA">
      <w:pPr>
        <w:spacing w:before="60"/>
        <w:ind w:left="397"/>
        <w:jc w:val="left"/>
      </w:pPr>
      <w:r>
        <w:t xml:space="preserve">= </w:t>
      </w:r>
      <w:r w:rsidR="000751AC">
        <w:t>1951</w:t>
      </w:r>
      <w:r w:rsidRPr="00E83A7A">
        <w:t xml:space="preserve"> </w:t>
      </w:r>
      <w:r>
        <w:t>kg</w:t>
      </w:r>
      <w:r w:rsidRPr="00E83A7A">
        <w:t xml:space="preserve"> CO</w:t>
      </w:r>
      <w:r w:rsidRPr="00E83A7A">
        <w:rPr>
          <w:vertAlign w:val="subscript"/>
        </w:rPr>
        <w:t>2</w:t>
      </w:r>
      <w:r w:rsidRPr="00E83A7A">
        <w:t>-e</w:t>
      </w:r>
    </w:p>
    <w:p w:rsidR="009E3385" w:rsidRDefault="009E3385" w:rsidP="007D0ACA">
      <w:pPr>
        <w:keepNext/>
        <w:spacing w:before="240" w:after="60"/>
        <w:jc w:val="left"/>
        <w:rPr>
          <w:color w:val="000000"/>
        </w:rPr>
      </w:pPr>
      <w:r w:rsidRPr="00FF69DB">
        <w:rPr>
          <w:i/>
          <w:color w:val="000000"/>
        </w:rPr>
        <w:t xml:space="preserve">Disposal </w:t>
      </w:r>
      <w:r w:rsidR="00AC27F5">
        <w:rPr>
          <w:i/>
          <w:color w:val="000000"/>
        </w:rPr>
        <w:t>e</w:t>
      </w:r>
      <w:r w:rsidRPr="00FF69DB">
        <w:rPr>
          <w:i/>
          <w:color w:val="000000"/>
        </w:rPr>
        <w:t xml:space="preserve">missions </w:t>
      </w:r>
      <w:r w:rsidRPr="00E83A7A">
        <w:rPr>
          <w:color w:val="000000"/>
        </w:rPr>
        <w:t xml:space="preserve">(DE) = total full charge of retiring equipment </w:t>
      </w:r>
      <w:r>
        <w:rPr>
          <w:color w:val="000000"/>
        </w:rPr>
        <w:t>–</w:t>
      </w:r>
      <w:r w:rsidRPr="00E83A7A">
        <w:rPr>
          <w:color w:val="000000"/>
        </w:rPr>
        <w:t xml:space="preserve"> refrigerant recovered from retiring equipment</w:t>
      </w:r>
    </w:p>
    <w:p w:rsidR="009E3385" w:rsidRPr="00E83A7A" w:rsidRDefault="009E3385" w:rsidP="007D0ACA">
      <w:pPr>
        <w:keepNext/>
        <w:ind w:left="397"/>
        <w:jc w:val="left"/>
      </w:pPr>
      <w:r w:rsidRPr="00E83A7A">
        <w:t xml:space="preserve">= (8.5 – 6.8) x </w:t>
      </w:r>
      <w:r w:rsidR="0017271F">
        <w:t>1774</w:t>
      </w:r>
    </w:p>
    <w:p w:rsidR="009E3385" w:rsidRPr="00E83A7A" w:rsidRDefault="009E3385" w:rsidP="007D0ACA">
      <w:pPr>
        <w:spacing w:before="60" w:after="60"/>
        <w:ind w:left="397"/>
        <w:jc w:val="left"/>
      </w:pPr>
      <w:r>
        <w:t xml:space="preserve">= </w:t>
      </w:r>
      <w:r w:rsidR="0017271F">
        <w:t>3016</w:t>
      </w:r>
      <w:r w:rsidRPr="00E83A7A">
        <w:t xml:space="preserve"> </w:t>
      </w:r>
      <w:r>
        <w:t>kg</w:t>
      </w:r>
      <w:r w:rsidRPr="00E83A7A">
        <w:t xml:space="preserve"> CO</w:t>
      </w:r>
      <w:r w:rsidRPr="00E83A7A">
        <w:rPr>
          <w:vertAlign w:val="subscript"/>
        </w:rPr>
        <w:t>2</w:t>
      </w:r>
      <w:r w:rsidRPr="00E83A7A">
        <w:t>-e</w:t>
      </w:r>
    </w:p>
    <w:p w:rsidR="009E3385" w:rsidRDefault="009E3385" w:rsidP="007D0ACA">
      <w:pPr>
        <w:spacing w:before="120"/>
        <w:ind w:firstLine="397"/>
        <w:jc w:val="left"/>
      </w:pPr>
      <w:r>
        <w:t xml:space="preserve">E = </w:t>
      </w:r>
      <w:r w:rsidR="0017271F">
        <w:t>209</w:t>
      </w:r>
      <w:r w:rsidRPr="00E83A7A">
        <w:t xml:space="preserve"> + </w:t>
      </w:r>
      <w:r w:rsidR="0017271F">
        <w:t>1951</w:t>
      </w:r>
      <w:r w:rsidRPr="00E83A7A">
        <w:t xml:space="preserve"> + </w:t>
      </w:r>
      <w:r w:rsidR="00CA1B34">
        <w:t>3016</w:t>
      </w:r>
    </w:p>
    <w:p w:rsidR="00952ABD" w:rsidRDefault="009E3385" w:rsidP="007D0ACA">
      <w:pPr>
        <w:spacing w:before="60"/>
        <w:ind w:firstLine="397"/>
        <w:jc w:val="left"/>
        <w:rPr>
          <w:b/>
          <w:color w:val="000000"/>
        </w:rPr>
      </w:pPr>
      <w:r>
        <w:rPr>
          <w:b/>
          <w:color w:val="000000"/>
        </w:rPr>
        <w:t xml:space="preserve">= </w:t>
      </w:r>
      <w:r w:rsidR="00CA1B34">
        <w:rPr>
          <w:b/>
          <w:color w:val="000000"/>
        </w:rPr>
        <w:t>5176</w:t>
      </w:r>
      <w:r w:rsidRPr="006D180B">
        <w:rPr>
          <w:b/>
          <w:color w:val="000000"/>
        </w:rPr>
        <w:t xml:space="preserve"> </w:t>
      </w:r>
      <w:r>
        <w:rPr>
          <w:b/>
          <w:color w:val="000000"/>
        </w:rPr>
        <w:t>kg</w:t>
      </w:r>
      <w:r w:rsidRPr="006D180B">
        <w:rPr>
          <w:b/>
        </w:rPr>
        <w:t xml:space="preserve"> CO</w:t>
      </w:r>
      <w:r w:rsidRPr="006D180B">
        <w:rPr>
          <w:b/>
          <w:vertAlign w:val="subscript"/>
        </w:rPr>
        <w:t>2</w:t>
      </w:r>
      <w:r w:rsidRPr="006D180B">
        <w:rPr>
          <w:b/>
        </w:rPr>
        <w:t>-e</w:t>
      </w:r>
    </w:p>
    <w:p w:rsidR="009E3385" w:rsidRPr="00504E91" w:rsidRDefault="009E3385" w:rsidP="00AC27F5"/>
    <w:p w:rsidR="00EC1311" w:rsidRPr="00BE6190" w:rsidRDefault="009E3385" w:rsidP="007D0ACA">
      <w:pPr>
        <w:pStyle w:val="Heading4"/>
        <w:spacing w:before="120"/>
        <w:jc w:val="left"/>
        <w:rPr>
          <w:i/>
          <w:sz w:val="22"/>
        </w:rPr>
      </w:pPr>
      <w:r w:rsidRPr="00BE6190">
        <w:rPr>
          <w:sz w:val="22"/>
        </w:rPr>
        <w:t>Mobile air conditioning (MAC)</w:t>
      </w:r>
    </w:p>
    <w:p w:rsidR="009E3385" w:rsidRPr="00504E91" w:rsidRDefault="009E3385" w:rsidP="007D0ACA">
      <w:pPr>
        <w:jc w:val="left"/>
      </w:pPr>
      <w:r w:rsidRPr="00504E91">
        <w:t>Method A is recommended for trucks and buses with the cooperation of service agents.</w:t>
      </w:r>
      <w:r w:rsidR="00EC1311">
        <w:t xml:space="preserve"> </w:t>
      </w:r>
      <w:r w:rsidRPr="00504E91">
        <w:t>Method B is recommended for cars and vans (and acceptable for trucks and buses) because information on refrigerant amounts should be relatively straightforward for service agents to gather during maintenance.</w:t>
      </w:r>
      <w:r w:rsidR="00EC1311">
        <w:t xml:space="preserve"> </w:t>
      </w:r>
      <w:r w:rsidRPr="00504E91">
        <w:t xml:space="preserve">Method C (see </w:t>
      </w:r>
      <w:r w:rsidR="00EB1450">
        <w:t>table</w:t>
      </w:r>
      <w:r w:rsidRPr="00504E91">
        <w:t xml:space="preserve"> 1) is acceptable for cars and vans and c</w:t>
      </w:r>
      <w:r>
        <w:t>an</w:t>
      </w:r>
      <w:r w:rsidRPr="00504E91">
        <w:t xml:space="preserve"> be used as a screening test for trucks and buses until a regular fleet monitoring scheme is established.</w:t>
      </w:r>
      <w:r>
        <w:t xml:space="preserve"> This is the case for the company at this stage.</w:t>
      </w:r>
    </w:p>
    <w:p w:rsidR="009E3385" w:rsidRPr="00504E91" w:rsidRDefault="009E3385" w:rsidP="007D0ACA">
      <w:pPr>
        <w:jc w:val="left"/>
      </w:pPr>
    </w:p>
    <w:p w:rsidR="009E3385" w:rsidRPr="00504E91" w:rsidRDefault="009E3385" w:rsidP="007D0ACA">
      <w:pPr>
        <w:jc w:val="left"/>
      </w:pPr>
      <w:r>
        <w:t xml:space="preserve">The </w:t>
      </w:r>
      <w:r w:rsidR="00AC27F5">
        <w:t>c</w:t>
      </w:r>
      <w:r>
        <w:t xml:space="preserve">ompany </w:t>
      </w:r>
      <w:r w:rsidRPr="00504E91">
        <w:t xml:space="preserve">owns one delivery truck and </w:t>
      </w:r>
      <w:r>
        <w:t>one</w:t>
      </w:r>
      <w:r w:rsidRPr="00504E91">
        <w:t xml:space="preserve"> car that are fitted with MAC</w:t>
      </w:r>
      <w:r>
        <w:t xml:space="preserve"> units</w:t>
      </w:r>
      <w:r w:rsidRPr="00504E91">
        <w:t>.</w:t>
      </w:r>
      <w:r w:rsidR="00EC1311">
        <w:t xml:space="preserve"> </w:t>
      </w:r>
      <w:r>
        <w:t>It uses</w:t>
      </w:r>
      <w:r w:rsidRPr="00504E91">
        <w:t xml:space="preserve"> R134A refrigerant</w:t>
      </w:r>
      <w:r>
        <w:t xml:space="preserve"> (GWP </w:t>
      </w:r>
      <w:r w:rsidR="00CA1B34">
        <w:t>1430</w:t>
      </w:r>
      <w:r>
        <w:t>)</w:t>
      </w:r>
      <w:r w:rsidRPr="00504E91">
        <w:t>.</w:t>
      </w:r>
    </w:p>
    <w:p w:rsidR="009E3385" w:rsidRPr="00504E91" w:rsidRDefault="009E3385" w:rsidP="007D0ACA">
      <w:pPr>
        <w:jc w:val="left"/>
      </w:pPr>
    </w:p>
    <w:p w:rsidR="009E3385" w:rsidRPr="00504E91" w:rsidRDefault="009E3385" w:rsidP="007D0ACA">
      <w:pPr>
        <w:spacing w:after="60"/>
        <w:jc w:val="left"/>
      </w:pPr>
      <w:r w:rsidRPr="00504E91">
        <w:t xml:space="preserve">Using </w:t>
      </w:r>
      <w:r>
        <w:t>Method C</w:t>
      </w:r>
      <w:r w:rsidRPr="00504E91">
        <w:t>:</w:t>
      </w:r>
    </w:p>
    <w:p w:rsidR="00D329C9" w:rsidRDefault="009E3385" w:rsidP="007D0ACA">
      <w:pPr>
        <w:tabs>
          <w:tab w:val="left" w:pos="1985"/>
          <w:tab w:val="left" w:pos="2694"/>
          <w:tab w:val="left" w:pos="5103"/>
        </w:tabs>
        <w:jc w:val="left"/>
      </w:pPr>
      <w:r w:rsidRPr="00504E91">
        <w:t xml:space="preserve">Operation </w:t>
      </w:r>
      <w:r w:rsidR="00AC27F5">
        <w:t>e</w:t>
      </w:r>
      <w:r w:rsidRPr="00504E91">
        <w:t>missions</w:t>
      </w:r>
      <w:r w:rsidR="00E511F3">
        <w:tab/>
      </w:r>
      <w:r>
        <w:t>(truck)</w:t>
      </w:r>
      <w:r w:rsidR="00EC1311">
        <w:t xml:space="preserve"> </w:t>
      </w:r>
      <w:r w:rsidR="00B1121C">
        <w:tab/>
      </w:r>
      <w:r>
        <w:t xml:space="preserve">= (1.2 x 10/100 x </w:t>
      </w:r>
      <w:r w:rsidR="00CA1B34">
        <w:t>1430</w:t>
      </w:r>
      <w:r w:rsidRPr="00504E91">
        <w:t>)</w:t>
      </w:r>
      <w:r w:rsidR="00AC27F5">
        <w:tab/>
      </w:r>
      <w:r>
        <w:t>= 1</w:t>
      </w:r>
      <w:r w:rsidR="00F1153B">
        <w:t>72</w:t>
      </w:r>
    </w:p>
    <w:p w:rsidR="009E3385" w:rsidRPr="00504E91" w:rsidRDefault="009E3385" w:rsidP="007D0ACA">
      <w:pPr>
        <w:tabs>
          <w:tab w:val="left" w:pos="1985"/>
          <w:tab w:val="left" w:pos="2694"/>
          <w:tab w:val="left" w:pos="5103"/>
        </w:tabs>
        <w:spacing w:before="60"/>
        <w:jc w:val="left"/>
      </w:pPr>
      <w:r>
        <w:t>(car)</w:t>
      </w:r>
      <w:r w:rsidR="00507330">
        <w:t xml:space="preserve"> </w:t>
      </w:r>
      <w:r w:rsidR="00B1121C">
        <w:tab/>
      </w:r>
      <w:r w:rsidR="00B1121C">
        <w:tab/>
      </w:r>
      <w:r w:rsidR="00507330">
        <w:t xml:space="preserve">= </w:t>
      </w:r>
      <w:r>
        <w:t>0.7 x 10/100 x 1300</w:t>
      </w:r>
      <w:r w:rsidRPr="00504E91">
        <w:t>)</w:t>
      </w:r>
      <w:r w:rsidR="00AC27F5">
        <w:tab/>
      </w:r>
      <w:r>
        <w:t xml:space="preserve">= </w:t>
      </w:r>
      <w:r w:rsidR="00DB1AE0">
        <w:t>91</w:t>
      </w:r>
    </w:p>
    <w:p w:rsidR="009E3385" w:rsidRPr="002225C8" w:rsidRDefault="00507330" w:rsidP="007D0ACA">
      <w:pPr>
        <w:tabs>
          <w:tab w:val="left" w:pos="1985"/>
          <w:tab w:val="left" w:pos="2694"/>
          <w:tab w:val="left" w:pos="5103"/>
        </w:tabs>
        <w:spacing w:before="60"/>
        <w:jc w:val="left"/>
        <w:rPr>
          <w:b/>
        </w:rPr>
      </w:pPr>
      <w:r>
        <w:rPr>
          <w:b/>
        </w:rPr>
        <w:tab/>
      </w:r>
      <w:r w:rsidR="00502859">
        <w:rPr>
          <w:b/>
        </w:rPr>
        <w:tab/>
      </w:r>
      <w:r>
        <w:rPr>
          <w:b/>
        </w:rPr>
        <w:t>1</w:t>
      </w:r>
      <w:r w:rsidR="00F1153B">
        <w:rPr>
          <w:b/>
        </w:rPr>
        <w:t>72</w:t>
      </w:r>
      <w:r>
        <w:rPr>
          <w:b/>
        </w:rPr>
        <w:t xml:space="preserve"> +</w:t>
      </w:r>
      <w:r w:rsidR="00F1153B">
        <w:rPr>
          <w:b/>
        </w:rPr>
        <w:t>100</w:t>
      </w:r>
      <w:r w:rsidR="00E511F3">
        <w:rPr>
          <w:b/>
        </w:rPr>
        <w:t xml:space="preserve"> </w:t>
      </w:r>
      <w:r w:rsidR="00502859">
        <w:rPr>
          <w:b/>
        </w:rPr>
        <w:tab/>
      </w:r>
      <w:r w:rsidR="009E3385">
        <w:rPr>
          <w:b/>
        </w:rPr>
        <w:t xml:space="preserve">= </w:t>
      </w:r>
      <w:r w:rsidR="00F1153B">
        <w:rPr>
          <w:b/>
        </w:rPr>
        <w:t>2</w:t>
      </w:r>
      <w:r w:rsidR="00DB1AE0">
        <w:rPr>
          <w:b/>
        </w:rPr>
        <w:t>63</w:t>
      </w:r>
      <w:r w:rsidR="009E3385" w:rsidRPr="002225C8">
        <w:rPr>
          <w:b/>
        </w:rPr>
        <w:t xml:space="preserve"> </w:t>
      </w:r>
      <w:r w:rsidR="009E3385">
        <w:rPr>
          <w:b/>
        </w:rPr>
        <w:t>kg</w:t>
      </w:r>
      <w:r w:rsidR="009E3385" w:rsidRPr="002225C8">
        <w:rPr>
          <w:b/>
        </w:rPr>
        <w:t xml:space="preserve"> CO</w:t>
      </w:r>
      <w:r w:rsidR="009E3385" w:rsidRPr="002225C8">
        <w:rPr>
          <w:b/>
          <w:vertAlign w:val="subscript"/>
        </w:rPr>
        <w:t>2</w:t>
      </w:r>
      <w:r w:rsidR="009E3385" w:rsidRPr="002225C8">
        <w:rPr>
          <w:b/>
        </w:rPr>
        <w:t>-e</w:t>
      </w:r>
    </w:p>
    <w:p w:rsidR="009E3385" w:rsidRPr="00504E91" w:rsidRDefault="009E3385" w:rsidP="007D0ACA">
      <w:pPr>
        <w:jc w:val="left"/>
      </w:pPr>
    </w:p>
    <w:p w:rsidR="00EC1311" w:rsidRDefault="009E3385" w:rsidP="007D0ACA">
      <w:pPr>
        <w:spacing w:after="120"/>
        <w:jc w:val="left"/>
        <w:rPr>
          <w:rFonts w:ascii="Arial" w:hAnsi="Arial" w:cs="Arial"/>
          <w:b/>
        </w:rPr>
      </w:pPr>
      <w:r w:rsidRPr="00322AEA">
        <w:rPr>
          <w:rFonts w:ascii="Arial" w:hAnsi="Arial" w:cs="Arial"/>
          <w:b/>
        </w:rPr>
        <w:t>Refrigerated transport</w:t>
      </w:r>
    </w:p>
    <w:p w:rsidR="00EC1311" w:rsidRDefault="009E3385" w:rsidP="007D0ACA">
      <w:pPr>
        <w:jc w:val="left"/>
      </w:pPr>
      <w:r>
        <w:t xml:space="preserve">Method A is recommended due to the </w:t>
      </w:r>
      <w:r w:rsidRPr="00504E91">
        <w:t xml:space="preserve">high potential for leakage </w:t>
      </w:r>
      <w:r>
        <w:t>from</w:t>
      </w:r>
      <w:r w:rsidRPr="00504E91">
        <w:t xml:space="preserve"> this sector</w:t>
      </w:r>
      <w:r>
        <w:t>. Where this is not practical</w:t>
      </w:r>
      <w:r w:rsidRPr="00504E91">
        <w:t xml:space="preserve"> (high turnover of a large number of refrigerated trucks or containers), a Method B approach </w:t>
      </w:r>
      <w:r>
        <w:t>is</w:t>
      </w:r>
      <w:r w:rsidRPr="00504E91">
        <w:t xml:space="preserve"> acceptable.</w:t>
      </w:r>
    </w:p>
    <w:p w:rsidR="009E3385" w:rsidRPr="00504E91" w:rsidRDefault="009E3385" w:rsidP="007D0ACA">
      <w:pPr>
        <w:jc w:val="left"/>
      </w:pPr>
    </w:p>
    <w:p w:rsidR="009E3385" w:rsidRPr="00504E91" w:rsidRDefault="009E3385" w:rsidP="00F67D93">
      <w:pPr>
        <w:jc w:val="left"/>
      </w:pPr>
      <w:r>
        <w:t>The company owns</w:t>
      </w:r>
      <w:r w:rsidRPr="00504E91">
        <w:t xml:space="preserve"> </w:t>
      </w:r>
      <w:r>
        <w:t>one</w:t>
      </w:r>
      <w:r w:rsidRPr="00504E91">
        <w:t xml:space="preserve"> refrigerated truck</w:t>
      </w:r>
      <w:r>
        <w:t>. It</w:t>
      </w:r>
      <w:r w:rsidRPr="00504E91">
        <w:t xml:space="preserve"> is a larger</w:t>
      </w:r>
      <w:r w:rsidR="0078467E">
        <w:t>,</w:t>
      </w:r>
      <w:r w:rsidRPr="00504E91">
        <w:t xml:space="preserve"> self-powered unit </w:t>
      </w:r>
      <w:r>
        <w:t>(6 litres) and the</w:t>
      </w:r>
      <w:r w:rsidRPr="00504E91">
        <w:t xml:space="preserve"> compliance plates show R404A</w:t>
      </w:r>
      <w:r>
        <w:t xml:space="preserve"> </w:t>
      </w:r>
      <w:r w:rsidRPr="00504E91">
        <w:t>refrigerant</w:t>
      </w:r>
      <w:r>
        <w:t xml:space="preserve"> (GWP </w:t>
      </w:r>
      <w:r w:rsidR="004E5567">
        <w:t>3922</w:t>
      </w:r>
      <w:r>
        <w:t>).</w:t>
      </w:r>
      <w:r w:rsidRPr="00504E91">
        <w:t xml:space="preserve"> </w:t>
      </w:r>
      <w:r>
        <w:t xml:space="preserve">Service agents have topped up the refrigerant twice over the year to a total of 1.32 kg. </w:t>
      </w:r>
      <w:r w:rsidRPr="00504E91">
        <w:t>The organisation also accounts for two large</w:t>
      </w:r>
      <w:r w:rsidR="0078467E">
        <w:t>,</w:t>
      </w:r>
      <w:r w:rsidRPr="00504E91">
        <w:t xml:space="preserve"> three-phase refrigerated containers it operates that are owned by a contractor – one uses </w:t>
      </w:r>
      <w:r w:rsidRPr="00504E91">
        <w:lastRenderedPageBreak/>
        <w:t>R22 and one R404A.</w:t>
      </w:r>
      <w:r>
        <w:t xml:space="preserve"> The R22 refrigerated container is not included in the inventory. </w:t>
      </w:r>
      <w:r w:rsidR="0078467E">
        <w:t>It is un</w:t>
      </w:r>
      <w:r>
        <w:t>able to collect service data and therefore use</w:t>
      </w:r>
      <w:r w:rsidR="0078467E">
        <w:t>s</w:t>
      </w:r>
      <w:r>
        <w:t xml:space="preserve"> Method B to estimate emissions.</w:t>
      </w:r>
    </w:p>
    <w:p w:rsidR="009E3385" w:rsidRPr="00504E91" w:rsidRDefault="009E3385" w:rsidP="00F67D93">
      <w:pPr>
        <w:jc w:val="left"/>
      </w:pPr>
    </w:p>
    <w:p w:rsidR="009E3385" w:rsidRPr="00504E91" w:rsidRDefault="009E3385" w:rsidP="00F67D93">
      <w:pPr>
        <w:keepNext/>
        <w:jc w:val="left"/>
      </w:pPr>
      <w:r w:rsidRPr="00504E91">
        <w:t xml:space="preserve">Using </w:t>
      </w:r>
      <w:r>
        <w:t>Method A</w:t>
      </w:r>
      <w:r w:rsidRPr="00504E91">
        <w:t xml:space="preserve"> for Scope 1:</w:t>
      </w:r>
    </w:p>
    <w:p w:rsidR="009E3385" w:rsidRDefault="009E3385" w:rsidP="00F67D93">
      <w:pPr>
        <w:tabs>
          <w:tab w:val="left" w:pos="2410"/>
        </w:tabs>
        <w:spacing w:before="120"/>
        <w:ind w:left="397"/>
        <w:jc w:val="left"/>
      </w:pPr>
      <w:r w:rsidRPr="00504E91">
        <w:t xml:space="preserve">Operation </w:t>
      </w:r>
      <w:r w:rsidR="00AD7EC5">
        <w:t>e</w:t>
      </w:r>
      <w:r w:rsidRPr="00504E91">
        <w:t>missions</w:t>
      </w:r>
      <w:r>
        <w:tab/>
      </w:r>
      <w:r w:rsidRPr="00504E91">
        <w:t xml:space="preserve">= </w:t>
      </w:r>
      <w:r>
        <w:t>S x GWP</w:t>
      </w:r>
    </w:p>
    <w:p w:rsidR="009E3385" w:rsidRDefault="00E511F3" w:rsidP="00F67D93">
      <w:pPr>
        <w:tabs>
          <w:tab w:val="left" w:pos="2410"/>
        </w:tabs>
        <w:spacing w:before="60"/>
        <w:jc w:val="left"/>
      </w:pPr>
      <w:r>
        <w:tab/>
      </w:r>
      <w:r w:rsidR="009E3385">
        <w:t>= 1.32</w:t>
      </w:r>
      <w:r w:rsidR="009E3385" w:rsidRPr="00504E91">
        <w:t xml:space="preserve"> x </w:t>
      </w:r>
      <w:r w:rsidR="004E5567">
        <w:t>3922</w:t>
      </w:r>
    </w:p>
    <w:p w:rsidR="009E3385" w:rsidRPr="00D72D9C" w:rsidRDefault="00E511F3" w:rsidP="00F67D93">
      <w:pPr>
        <w:tabs>
          <w:tab w:val="left" w:pos="2410"/>
        </w:tabs>
        <w:spacing w:before="60"/>
        <w:jc w:val="left"/>
        <w:rPr>
          <w:b/>
        </w:rPr>
      </w:pPr>
      <w:r>
        <w:rPr>
          <w:b/>
        </w:rPr>
        <w:tab/>
      </w:r>
      <w:r w:rsidR="009E3385">
        <w:rPr>
          <w:b/>
        </w:rPr>
        <w:t xml:space="preserve">= </w:t>
      </w:r>
      <w:r w:rsidR="00094A88">
        <w:rPr>
          <w:b/>
        </w:rPr>
        <w:t>5177</w:t>
      </w:r>
      <w:r w:rsidR="009E3385" w:rsidRPr="00D72D9C">
        <w:rPr>
          <w:b/>
        </w:rPr>
        <w:t xml:space="preserve"> </w:t>
      </w:r>
      <w:r w:rsidR="009E3385">
        <w:rPr>
          <w:b/>
        </w:rPr>
        <w:t>kg</w:t>
      </w:r>
      <w:r w:rsidR="009E3385" w:rsidRPr="00D72D9C">
        <w:rPr>
          <w:b/>
        </w:rPr>
        <w:t xml:space="preserve"> CO</w:t>
      </w:r>
      <w:r w:rsidR="009E3385" w:rsidRPr="00D72D9C">
        <w:rPr>
          <w:b/>
          <w:vertAlign w:val="subscript"/>
        </w:rPr>
        <w:t>2</w:t>
      </w:r>
      <w:r w:rsidR="009E3385" w:rsidRPr="00D72D9C">
        <w:rPr>
          <w:b/>
        </w:rPr>
        <w:t>-e</w:t>
      </w:r>
    </w:p>
    <w:p w:rsidR="009E3385" w:rsidRPr="00504E91" w:rsidRDefault="009E3385" w:rsidP="00F67D93">
      <w:pPr>
        <w:jc w:val="left"/>
      </w:pPr>
    </w:p>
    <w:p w:rsidR="009E3385" w:rsidRPr="00504E91" w:rsidRDefault="009E3385" w:rsidP="00F67D93">
      <w:pPr>
        <w:jc w:val="left"/>
      </w:pPr>
      <w:r w:rsidRPr="00504E91">
        <w:t xml:space="preserve">Using </w:t>
      </w:r>
      <w:r>
        <w:t>Method B</w:t>
      </w:r>
      <w:r w:rsidRPr="00504E91">
        <w:t xml:space="preserve"> for Scope 3:</w:t>
      </w:r>
    </w:p>
    <w:p w:rsidR="009E3385" w:rsidRDefault="009E3385" w:rsidP="00F67D93">
      <w:pPr>
        <w:tabs>
          <w:tab w:val="left" w:pos="2410"/>
        </w:tabs>
        <w:spacing w:before="120"/>
        <w:ind w:left="397"/>
        <w:jc w:val="left"/>
      </w:pPr>
      <w:r w:rsidRPr="00504E91">
        <w:t xml:space="preserve">Operation </w:t>
      </w:r>
      <w:r w:rsidR="00AD7EC5">
        <w:t>e</w:t>
      </w:r>
      <w:r w:rsidRPr="00504E91">
        <w:t>missions</w:t>
      </w:r>
      <w:r>
        <w:tab/>
      </w:r>
      <w:r w:rsidRPr="00504E91">
        <w:t xml:space="preserve">= </w:t>
      </w:r>
      <w:r>
        <w:t>(C x ALR) x GWP</w:t>
      </w:r>
    </w:p>
    <w:p w:rsidR="009E3385" w:rsidRPr="00504E91" w:rsidRDefault="009E3385" w:rsidP="00F67D93">
      <w:pPr>
        <w:tabs>
          <w:tab w:val="left" w:pos="2410"/>
        </w:tabs>
        <w:spacing w:before="60"/>
        <w:ind w:left="2410"/>
        <w:jc w:val="left"/>
      </w:pPr>
      <w:r>
        <w:t>= (</w:t>
      </w:r>
      <w:r w:rsidRPr="00504E91">
        <w:t>5.5 x 25/100</w:t>
      </w:r>
      <w:r>
        <w:t>)</w:t>
      </w:r>
      <w:r w:rsidRPr="00504E91">
        <w:t xml:space="preserve"> x </w:t>
      </w:r>
      <w:r w:rsidR="004E5567">
        <w:t>3922</w:t>
      </w:r>
    </w:p>
    <w:p w:rsidR="009E3385" w:rsidRPr="00D72D9C" w:rsidRDefault="009E3385" w:rsidP="00F67D93">
      <w:pPr>
        <w:tabs>
          <w:tab w:val="left" w:pos="2410"/>
        </w:tabs>
        <w:spacing w:before="60"/>
        <w:ind w:left="2410"/>
        <w:jc w:val="left"/>
        <w:rPr>
          <w:b/>
        </w:rPr>
      </w:pPr>
      <w:r>
        <w:rPr>
          <w:b/>
        </w:rPr>
        <w:t xml:space="preserve">= </w:t>
      </w:r>
      <w:r w:rsidR="00094A88">
        <w:rPr>
          <w:b/>
        </w:rPr>
        <w:t>5393</w:t>
      </w:r>
      <w:r w:rsidRPr="00D72D9C">
        <w:rPr>
          <w:b/>
        </w:rPr>
        <w:t xml:space="preserve"> </w:t>
      </w:r>
      <w:r>
        <w:rPr>
          <w:b/>
        </w:rPr>
        <w:t>kg</w:t>
      </w:r>
      <w:r w:rsidRPr="00D72D9C">
        <w:rPr>
          <w:b/>
        </w:rPr>
        <w:t xml:space="preserve"> CO</w:t>
      </w:r>
      <w:r w:rsidRPr="00D72D9C">
        <w:rPr>
          <w:b/>
          <w:vertAlign w:val="subscript"/>
        </w:rPr>
        <w:t>2</w:t>
      </w:r>
      <w:r w:rsidRPr="00D72D9C">
        <w:rPr>
          <w:b/>
        </w:rPr>
        <w:t>-e</w:t>
      </w:r>
    </w:p>
    <w:p w:rsidR="009E3385" w:rsidRDefault="009E3385" w:rsidP="00F67D93">
      <w:pPr>
        <w:jc w:val="left"/>
      </w:pPr>
    </w:p>
    <w:p w:rsidR="009E3385" w:rsidRDefault="009E3385" w:rsidP="00F67D93">
      <w:pPr>
        <w:keepNext/>
        <w:spacing w:after="120"/>
        <w:jc w:val="left"/>
      </w:pPr>
      <w:r>
        <w:t>Therefore, total emissions for the company for refrigeration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977"/>
        <w:gridCol w:w="1418"/>
      </w:tblGrid>
      <w:tr w:rsidR="009E3385" w:rsidRPr="00AD7EC5" w:rsidTr="008E206B">
        <w:trPr>
          <w:cantSplit/>
        </w:trPr>
        <w:tc>
          <w:tcPr>
            <w:tcW w:w="2977" w:type="dxa"/>
            <w:shd w:val="clear" w:color="auto" w:fill="D9D9D9"/>
          </w:tcPr>
          <w:p w:rsidR="009E3385" w:rsidRPr="00AD7EC5" w:rsidRDefault="009E3385" w:rsidP="00AD7EC5">
            <w:pPr>
              <w:pStyle w:val="TableText"/>
              <w:keepNext/>
              <w:rPr>
                <w:b/>
              </w:rPr>
            </w:pPr>
            <w:r w:rsidRPr="00AD7EC5">
              <w:rPr>
                <w:b/>
              </w:rPr>
              <w:t>Scope 1</w:t>
            </w:r>
          </w:p>
        </w:tc>
        <w:tc>
          <w:tcPr>
            <w:tcW w:w="1418" w:type="dxa"/>
            <w:shd w:val="clear" w:color="auto" w:fill="D9D9D9"/>
          </w:tcPr>
          <w:p w:rsidR="009E3385" w:rsidRPr="00AD7EC5" w:rsidRDefault="009E3385" w:rsidP="00090857">
            <w:pPr>
              <w:pStyle w:val="TableText"/>
              <w:keepNext/>
              <w:rPr>
                <w:b/>
              </w:rPr>
            </w:pPr>
            <w:r w:rsidRPr="00AD7EC5">
              <w:rPr>
                <w:b/>
              </w:rPr>
              <w:t>kg CO</w:t>
            </w:r>
            <w:r w:rsidRPr="00AD7EC5">
              <w:rPr>
                <w:b/>
                <w:vertAlign w:val="subscript"/>
              </w:rPr>
              <w:t>2</w:t>
            </w:r>
            <w:r w:rsidRPr="00AD7EC5">
              <w:rPr>
                <w:b/>
              </w:rPr>
              <w:t>-e</w:t>
            </w:r>
          </w:p>
        </w:tc>
      </w:tr>
      <w:tr w:rsidR="009E3385" w:rsidRPr="006A17BA" w:rsidTr="008E206B">
        <w:trPr>
          <w:cantSplit/>
        </w:trPr>
        <w:tc>
          <w:tcPr>
            <w:tcW w:w="2977" w:type="dxa"/>
          </w:tcPr>
          <w:p w:rsidR="009E3385" w:rsidRPr="00F0793A" w:rsidRDefault="009E3385" w:rsidP="00AD7EC5">
            <w:pPr>
              <w:pStyle w:val="TableText"/>
              <w:keepNext/>
            </w:pPr>
            <w:r w:rsidRPr="00F0793A" w:rsidDel="00C40D71">
              <w:t>Office</w:t>
            </w:r>
            <w:r w:rsidR="00EC1311">
              <w:t xml:space="preserve"> </w:t>
            </w:r>
            <w:r w:rsidRPr="00F0793A">
              <w:t>refrigeration</w:t>
            </w:r>
          </w:p>
        </w:tc>
        <w:tc>
          <w:tcPr>
            <w:tcW w:w="1418" w:type="dxa"/>
          </w:tcPr>
          <w:p w:rsidR="009E3385" w:rsidRPr="0088143F" w:rsidDel="00C40D71" w:rsidRDefault="009E3385" w:rsidP="00090857">
            <w:pPr>
              <w:pStyle w:val="TableText"/>
              <w:keepNext/>
              <w:tabs>
                <w:tab w:val="decimal" w:pos="854"/>
              </w:tabs>
              <w:jc w:val="right"/>
            </w:pPr>
            <w:r w:rsidRPr="0088143F">
              <w:t>1</w:t>
            </w:r>
            <w:r w:rsidR="00FE1DEC">
              <w:t>5</w:t>
            </w:r>
          </w:p>
        </w:tc>
      </w:tr>
      <w:tr w:rsidR="009E3385" w:rsidRPr="006A17BA" w:rsidTr="008E206B">
        <w:trPr>
          <w:cantSplit/>
        </w:trPr>
        <w:tc>
          <w:tcPr>
            <w:tcW w:w="2977" w:type="dxa"/>
          </w:tcPr>
          <w:p w:rsidR="009E3385" w:rsidRPr="00F0793A" w:rsidRDefault="009E3385" w:rsidP="00AD7EC5">
            <w:pPr>
              <w:pStyle w:val="TableText"/>
            </w:pPr>
            <w:r>
              <w:t>L</w:t>
            </w:r>
            <w:r w:rsidRPr="00F0793A">
              <w:t>arge commercial sized refrigerator</w:t>
            </w:r>
          </w:p>
        </w:tc>
        <w:tc>
          <w:tcPr>
            <w:tcW w:w="1418" w:type="dxa"/>
          </w:tcPr>
          <w:p w:rsidR="009E3385" w:rsidRPr="0088143F" w:rsidRDefault="009E3385" w:rsidP="00090857">
            <w:pPr>
              <w:pStyle w:val="TableText"/>
              <w:tabs>
                <w:tab w:val="decimal" w:pos="854"/>
              </w:tabs>
              <w:jc w:val="right"/>
            </w:pPr>
            <w:r>
              <w:t>1</w:t>
            </w:r>
            <w:r w:rsidR="00FE1DEC">
              <w:t>255</w:t>
            </w:r>
          </w:p>
        </w:tc>
      </w:tr>
      <w:tr w:rsidR="009E3385" w:rsidRPr="006A17BA" w:rsidTr="008E206B">
        <w:trPr>
          <w:cantSplit/>
        </w:trPr>
        <w:tc>
          <w:tcPr>
            <w:tcW w:w="2977" w:type="dxa"/>
          </w:tcPr>
          <w:p w:rsidR="009E3385" w:rsidRPr="006A17BA" w:rsidRDefault="009E3385" w:rsidP="00AD7EC5">
            <w:pPr>
              <w:pStyle w:val="TableText"/>
              <w:rPr>
                <w:color w:val="000000"/>
              </w:rPr>
            </w:pPr>
            <w:r w:rsidRPr="00F0793A">
              <w:t>Commercial air</w:t>
            </w:r>
            <w:r w:rsidR="0078467E">
              <w:t>-</w:t>
            </w:r>
            <w:r w:rsidRPr="00F0793A">
              <w:t>conditioning unit</w:t>
            </w:r>
          </w:p>
        </w:tc>
        <w:tc>
          <w:tcPr>
            <w:tcW w:w="1418" w:type="dxa"/>
          </w:tcPr>
          <w:p w:rsidR="009E3385" w:rsidRPr="0088143F" w:rsidRDefault="00FE1DEC" w:rsidP="00090857">
            <w:pPr>
              <w:pStyle w:val="TableText"/>
              <w:tabs>
                <w:tab w:val="decimal" w:pos="854"/>
              </w:tabs>
              <w:jc w:val="right"/>
            </w:pPr>
            <w:r>
              <w:rPr>
                <w:color w:val="000000"/>
              </w:rPr>
              <w:t>5176</w:t>
            </w:r>
          </w:p>
        </w:tc>
      </w:tr>
      <w:tr w:rsidR="009E3385" w:rsidRPr="006A17BA" w:rsidTr="008E206B">
        <w:trPr>
          <w:cantSplit/>
        </w:trPr>
        <w:tc>
          <w:tcPr>
            <w:tcW w:w="2977" w:type="dxa"/>
          </w:tcPr>
          <w:p w:rsidR="009E3385" w:rsidRPr="00F0793A" w:rsidRDefault="009E3385" w:rsidP="00AD7EC5">
            <w:pPr>
              <w:pStyle w:val="TableText"/>
            </w:pPr>
            <w:r w:rsidRPr="00F0793A">
              <w:t xml:space="preserve">Mobile </w:t>
            </w:r>
            <w:r>
              <w:t>a</w:t>
            </w:r>
            <w:r w:rsidRPr="00F0793A">
              <w:t xml:space="preserve">ir </w:t>
            </w:r>
            <w:r>
              <w:t>c</w:t>
            </w:r>
            <w:r w:rsidRPr="00F0793A">
              <w:t>onditioning (MAC)</w:t>
            </w:r>
          </w:p>
        </w:tc>
        <w:tc>
          <w:tcPr>
            <w:tcW w:w="1418" w:type="dxa"/>
          </w:tcPr>
          <w:p w:rsidR="009E3385" w:rsidRPr="0088143F" w:rsidRDefault="00DB1AE0" w:rsidP="00090857">
            <w:pPr>
              <w:pStyle w:val="TableText"/>
              <w:tabs>
                <w:tab w:val="decimal" w:pos="854"/>
              </w:tabs>
              <w:jc w:val="right"/>
            </w:pPr>
            <w:r>
              <w:t>263</w:t>
            </w:r>
          </w:p>
        </w:tc>
      </w:tr>
      <w:tr w:rsidR="009E3385" w:rsidRPr="006A17BA" w:rsidTr="008E206B">
        <w:trPr>
          <w:cantSplit/>
        </w:trPr>
        <w:tc>
          <w:tcPr>
            <w:tcW w:w="2977" w:type="dxa"/>
          </w:tcPr>
          <w:p w:rsidR="009E3385" w:rsidRPr="00F0793A" w:rsidRDefault="009E3385" w:rsidP="00AD7EC5">
            <w:pPr>
              <w:pStyle w:val="TableText"/>
            </w:pPr>
            <w:r w:rsidRPr="00F0793A">
              <w:t>Refrigerated transport</w:t>
            </w:r>
          </w:p>
        </w:tc>
        <w:tc>
          <w:tcPr>
            <w:tcW w:w="1418" w:type="dxa"/>
          </w:tcPr>
          <w:p w:rsidR="009E3385" w:rsidRPr="0088143F" w:rsidRDefault="00790A81" w:rsidP="00090857">
            <w:pPr>
              <w:pStyle w:val="TableText"/>
              <w:tabs>
                <w:tab w:val="decimal" w:pos="854"/>
              </w:tabs>
              <w:jc w:val="right"/>
            </w:pPr>
            <w:r>
              <w:t>5177</w:t>
            </w:r>
          </w:p>
        </w:tc>
      </w:tr>
      <w:tr w:rsidR="009E3385" w:rsidRPr="006A17BA" w:rsidTr="008E206B">
        <w:trPr>
          <w:cantSplit/>
        </w:trPr>
        <w:tc>
          <w:tcPr>
            <w:tcW w:w="2977" w:type="dxa"/>
            <w:tcBorders>
              <w:bottom w:val="single" w:sz="4" w:space="0" w:color="auto"/>
            </w:tcBorders>
          </w:tcPr>
          <w:p w:rsidR="009E3385" w:rsidRPr="006A17BA" w:rsidRDefault="009E3385" w:rsidP="00AD7EC5">
            <w:pPr>
              <w:pStyle w:val="TableText"/>
            </w:pPr>
            <w:r w:rsidRPr="006A17BA">
              <w:t>SCOPE 1 TOTAL</w:t>
            </w:r>
          </w:p>
        </w:tc>
        <w:tc>
          <w:tcPr>
            <w:tcW w:w="1418" w:type="dxa"/>
            <w:tcBorders>
              <w:bottom w:val="single" w:sz="4" w:space="0" w:color="auto"/>
            </w:tcBorders>
          </w:tcPr>
          <w:p w:rsidR="009E3385" w:rsidRPr="006A17BA" w:rsidRDefault="000971CC" w:rsidP="00090857">
            <w:pPr>
              <w:pStyle w:val="TableText"/>
              <w:tabs>
                <w:tab w:val="decimal" w:pos="854"/>
              </w:tabs>
              <w:jc w:val="right"/>
            </w:pPr>
            <w:r>
              <w:t>11886</w:t>
            </w:r>
          </w:p>
        </w:tc>
      </w:tr>
      <w:tr w:rsidR="009E3385" w:rsidRPr="00AD7EC5" w:rsidDel="002E17D4" w:rsidTr="008E206B">
        <w:trPr>
          <w:cantSplit/>
        </w:trPr>
        <w:tc>
          <w:tcPr>
            <w:tcW w:w="2977" w:type="dxa"/>
            <w:shd w:val="clear" w:color="auto" w:fill="D9D9D9"/>
          </w:tcPr>
          <w:p w:rsidR="009E3385" w:rsidRPr="00AD7EC5" w:rsidDel="002E17D4" w:rsidRDefault="009E3385" w:rsidP="00AD7EC5">
            <w:pPr>
              <w:pStyle w:val="TableText"/>
              <w:rPr>
                <w:b/>
              </w:rPr>
            </w:pPr>
            <w:r w:rsidRPr="00AD7EC5">
              <w:rPr>
                <w:b/>
              </w:rPr>
              <w:t>Scope 3</w:t>
            </w:r>
          </w:p>
        </w:tc>
        <w:tc>
          <w:tcPr>
            <w:tcW w:w="1418" w:type="dxa"/>
            <w:shd w:val="clear" w:color="auto" w:fill="D9D9D9"/>
          </w:tcPr>
          <w:p w:rsidR="009E3385" w:rsidRPr="00AD7EC5" w:rsidRDefault="009E3385" w:rsidP="00090857">
            <w:pPr>
              <w:pStyle w:val="TableText"/>
              <w:tabs>
                <w:tab w:val="decimal" w:pos="854"/>
              </w:tabs>
              <w:jc w:val="right"/>
              <w:rPr>
                <w:b/>
              </w:rPr>
            </w:pPr>
          </w:p>
        </w:tc>
      </w:tr>
      <w:tr w:rsidR="009E3385" w:rsidRPr="006A17BA" w:rsidTr="008E206B">
        <w:trPr>
          <w:cantSplit/>
        </w:trPr>
        <w:tc>
          <w:tcPr>
            <w:tcW w:w="2977" w:type="dxa"/>
          </w:tcPr>
          <w:p w:rsidR="009E3385" w:rsidRPr="00F0793A" w:rsidRDefault="009E3385" w:rsidP="00AD7EC5">
            <w:pPr>
              <w:pStyle w:val="TableText"/>
            </w:pPr>
            <w:r w:rsidRPr="00F0793A">
              <w:t xml:space="preserve">Refrigerated </w:t>
            </w:r>
            <w:r w:rsidR="00AD7EC5">
              <w:t>t</w:t>
            </w:r>
            <w:r w:rsidRPr="00F0793A">
              <w:t>ransport</w:t>
            </w:r>
          </w:p>
        </w:tc>
        <w:tc>
          <w:tcPr>
            <w:tcW w:w="1418" w:type="dxa"/>
          </w:tcPr>
          <w:p w:rsidR="009E3385" w:rsidRPr="00F0793A" w:rsidRDefault="00790A81" w:rsidP="00090857">
            <w:pPr>
              <w:pStyle w:val="TableText"/>
              <w:tabs>
                <w:tab w:val="decimal" w:pos="854"/>
              </w:tabs>
              <w:jc w:val="right"/>
            </w:pPr>
            <w:r>
              <w:t>5393</w:t>
            </w:r>
          </w:p>
        </w:tc>
      </w:tr>
      <w:tr w:rsidR="009E3385" w:rsidRPr="006A17BA" w:rsidTr="008E206B">
        <w:trPr>
          <w:cantSplit/>
        </w:trPr>
        <w:tc>
          <w:tcPr>
            <w:tcW w:w="2977" w:type="dxa"/>
          </w:tcPr>
          <w:p w:rsidR="009E3385" w:rsidRPr="006A17BA" w:rsidRDefault="009E3385" w:rsidP="00AD7EC5">
            <w:pPr>
              <w:pStyle w:val="TableText"/>
            </w:pPr>
            <w:r w:rsidRPr="006A17BA">
              <w:t>SCOPE 3 TOTAL</w:t>
            </w:r>
          </w:p>
        </w:tc>
        <w:tc>
          <w:tcPr>
            <w:tcW w:w="1418" w:type="dxa"/>
          </w:tcPr>
          <w:p w:rsidR="009E3385" w:rsidRPr="006A17BA" w:rsidRDefault="00790A81" w:rsidP="00090857">
            <w:pPr>
              <w:pStyle w:val="TableText"/>
              <w:tabs>
                <w:tab w:val="decimal" w:pos="854"/>
              </w:tabs>
              <w:jc w:val="right"/>
            </w:pPr>
            <w:r>
              <w:t>5393</w:t>
            </w:r>
          </w:p>
        </w:tc>
      </w:tr>
    </w:tbl>
    <w:p w:rsidR="009E3385" w:rsidRPr="000F1882" w:rsidRDefault="009E3385" w:rsidP="00AD7EC5"/>
    <w:p w:rsidR="00EC1311" w:rsidRDefault="009E3385" w:rsidP="006C3411">
      <w:pPr>
        <w:pStyle w:val="Heading1"/>
        <w:ind w:left="0" w:firstLine="0"/>
      </w:pPr>
      <w:r>
        <w:br w:type="page"/>
      </w:r>
      <w:bookmarkStart w:id="253" w:name="_Toc289083976"/>
      <w:bookmarkStart w:id="254" w:name="_Toc469577186"/>
      <w:r w:rsidRPr="000F1882">
        <w:lastRenderedPageBreak/>
        <w:t>Appendix</w:t>
      </w:r>
      <w:r>
        <w:t xml:space="preserve"> </w:t>
      </w:r>
      <w:r w:rsidR="00312CEC">
        <w:t>C</w:t>
      </w:r>
      <w:r w:rsidRPr="000F1882">
        <w:t xml:space="preserve">: </w:t>
      </w:r>
      <w:r>
        <w:t>Derivation of emission factors for waste to landfill</w:t>
      </w:r>
      <w:bookmarkEnd w:id="253"/>
      <w:bookmarkEnd w:id="254"/>
    </w:p>
    <w:p w:rsidR="00EC1311" w:rsidRDefault="009E3385" w:rsidP="00F67D93">
      <w:pPr>
        <w:pStyle w:val="Heading4"/>
        <w:jc w:val="left"/>
      </w:pPr>
      <w:r w:rsidRPr="000F1882">
        <w:t>Base equation</w:t>
      </w:r>
    </w:p>
    <w:p w:rsidR="009E3385" w:rsidRPr="000F1882" w:rsidRDefault="009E3385" w:rsidP="00F67D93">
      <w:pPr>
        <w:jc w:val="left"/>
      </w:pPr>
      <w:r w:rsidRPr="000F1882">
        <w:t xml:space="preserve">The base equation used in deriving the waste emission factors, as taken from the </w:t>
      </w:r>
      <w:r w:rsidR="00E96CD7">
        <w:rPr>
          <w:i/>
        </w:rPr>
        <w:t>2006</w:t>
      </w:r>
      <w:r w:rsidR="00FD0161" w:rsidRPr="00765ED6">
        <w:rPr>
          <w:i/>
        </w:rPr>
        <w:t xml:space="preserve"> IPCC Guidelines for National Greenhouse Gas Inventories</w:t>
      </w:r>
      <w:r w:rsidR="00FD0161">
        <w:rPr>
          <w:i/>
        </w:rPr>
        <w:t xml:space="preserve"> </w:t>
      </w:r>
      <w:r w:rsidR="00FD0161" w:rsidRPr="00FD0161">
        <w:t xml:space="preserve">(IPCC, </w:t>
      </w:r>
      <w:r w:rsidR="00E96CD7">
        <w:t>2006</w:t>
      </w:r>
      <w:r w:rsidR="00FD0161" w:rsidRPr="00FD0161">
        <w:t>)</w:t>
      </w:r>
      <w:r w:rsidRPr="000F1882">
        <w:t>, is as follows:</w:t>
      </w:r>
    </w:p>
    <w:p w:rsidR="009E3385" w:rsidRPr="000F1882" w:rsidRDefault="009E3385" w:rsidP="006C3411"/>
    <w:p w:rsidR="009E3385" w:rsidRPr="000F1882" w:rsidRDefault="009E3385" w:rsidP="006C3411">
      <w:pPr>
        <w:pStyle w:val="Box"/>
        <w:pBdr>
          <w:top w:val="single" w:sz="6" w:space="6" w:color="auto"/>
          <w:left w:val="single" w:sz="6" w:space="6" w:color="auto"/>
          <w:bottom w:val="single" w:sz="6" w:space="6" w:color="auto"/>
          <w:right w:val="single" w:sz="6" w:space="6" w:color="auto"/>
        </w:pBdr>
        <w:spacing w:before="0"/>
        <w:ind w:left="142" w:right="142"/>
        <w:jc w:val="center"/>
      </w:pPr>
      <w:r w:rsidRPr="000F1882">
        <w:t>CO</w:t>
      </w:r>
      <w:r w:rsidRPr="000F1882">
        <w:rPr>
          <w:vertAlign w:val="subscript"/>
        </w:rPr>
        <w:t>2</w:t>
      </w:r>
      <w:r w:rsidRPr="000F1882">
        <w:t>-e</w:t>
      </w:r>
      <w:r w:rsidR="006C3411">
        <w:t xml:space="preserve"> </w:t>
      </w:r>
      <w:r w:rsidRPr="000F1882">
        <w:t>emissions (kg) =</w:t>
      </w:r>
    </w:p>
    <w:p w:rsidR="009E3385" w:rsidRDefault="009E3385" w:rsidP="006C3411">
      <w:pPr>
        <w:pStyle w:val="Box"/>
        <w:pBdr>
          <w:top w:val="single" w:sz="6" w:space="6" w:color="auto"/>
          <w:left w:val="single" w:sz="6" w:space="6" w:color="auto"/>
          <w:bottom w:val="single" w:sz="6" w:space="6" w:color="auto"/>
          <w:right w:val="single" w:sz="6" w:space="6" w:color="auto"/>
        </w:pBdr>
        <w:ind w:left="142" w:right="142"/>
        <w:jc w:val="center"/>
      </w:pPr>
      <w:r w:rsidRPr="000F1882">
        <w:t>((MSW</w:t>
      </w:r>
      <w:r w:rsidRPr="00BF0167">
        <w:rPr>
          <w:vertAlign w:val="subscript"/>
        </w:rPr>
        <w:t>T</w:t>
      </w:r>
      <w:r w:rsidRPr="000F1882">
        <w:t xml:space="preserve"> x DOC x DOC</w:t>
      </w:r>
      <w:r w:rsidRPr="00A9300E">
        <w:rPr>
          <w:vertAlign w:val="subscript"/>
        </w:rPr>
        <w:t>F</w:t>
      </w:r>
      <w:r w:rsidRPr="000F1882">
        <w:t xml:space="preserve"> x F x 16/12) x (1– R) x (1-OX)) x 2</w:t>
      </w:r>
      <w:r w:rsidR="00AD0616">
        <w:t>5</w:t>
      </w:r>
    </w:p>
    <w:p w:rsidR="009E3385" w:rsidRPr="000F1882" w:rsidRDefault="009E3385" w:rsidP="00F67D93">
      <w:pPr>
        <w:pStyle w:val="Note"/>
        <w:jc w:val="left"/>
      </w:pPr>
      <w:r w:rsidRPr="000F1882">
        <w:t>Where:</w:t>
      </w:r>
      <w:r w:rsidRPr="000F1882">
        <w:tab/>
        <w:t>MSW</w:t>
      </w:r>
      <w:r w:rsidRPr="000F1882">
        <w:rPr>
          <w:sz w:val="14"/>
          <w:szCs w:val="14"/>
        </w:rPr>
        <w:t>T</w:t>
      </w:r>
      <w:r w:rsidRPr="000F1882">
        <w:t xml:space="preserve"> = total Municipal Solid Waste (MSW) generated (kg); DOC = degradable organic carbon; DOC</w:t>
      </w:r>
      <w:r w:rsidRPr="000F1882">
        <w:rPr>
          <w:sz w:val="14"/>
          <w:szCs w:val="14"/>
        </w:rPr>
        <w:t>F</w:t>
      </w:r>
      <w:r w:rsidRPr="000F1882">
        <w:t> = fraction of DOC dissimilated; F = fraction of CH</w:t>
      </w:r>
      <w:r w:rsidRPr="000F1882">
        <w:rPr>
          <w:szCs w:val="18"/>
          <w:vertAlign w:val="subscript"/>
        </w:rPr>
        <w:t>4</w:t>
      </w:r>
      <w:r>
        <w:t xml:space="preserve"> in landfill gas</w:t>
      </w:r>
      <w:r w:rsidRPr="000F1882">
        <w:t>; R = fraction recovered CH</w:t>
      </w:r>
      <w:r w:rsidRPr="000F1882">
        <w:rPr>
          <w:vertAlign w:val="subscript"/>
        </w:rPr>
        <w:t>4</w:t>
      </w:r>
      <w:r w:rsidRPr="000F1882">
        <w:rPr>
          <w:szCs w:val="16"/>
        </w:rPr>
        <w:t xml:space="preserve">; </w:t>
      </w:r>
      <w:r w:rsidRPr="000F1882">
        <w:t>OX = </w:t>
      </w:r>
      <w:r>
        <w:t>oxidation factor</w:t>
      </w:r>
      <w:r w:rsidRPr="000F1882">
        <w:t>; 2</w:t>
      </w:r>
      <w:r w:rsidR="00AD0616">
        <w:t>5</w:t>
      </w:r>
      <w:r w:rsidRPr="000F1882">
        <w:t xml:space="preserve"> = GWP of methane (CH</w:t>
      </w:r>
      <w:r w:rsidRPr="000F1882">
        <w:rPr>
          <w:szCs w:val="18"/>
          <w:vertAlign w:val="subscript"/>
        </w:rPr>
        <w:t>4</w:t>
      </w:r>
      <w:r w:rsidRPr="000F1882">
        <w:t>).</w:t>
      </w:r>
    </w:p>
    <w:p w:rsidR="009E3385" w:rsidRDefault="009E3385" w:rsidP="00F67D93">
      <w:pPr>
        <w:jc w:val="left"/>
      </w:pPr>
    </w:p>
    <w:p w:rsidR="009E3385" w:rsidRDefault="009E3385" w:rsidP="00F67D93">
      <w:pPr>
        <w:tabs>
          <w:tab w:val="left" w:pos="851"/>
          <w:tab w:val="left" w:pos="1134"/>
        </w:tabs>
        <w:jc w:val="left"/>
      </w:pPr>
      <w:r w:rsidRPr="000F1882">
        <w:t>MSW</w:t>
      </w:r>
      <w:r w:rsidRPr="00BF0167">
        <w:rPr>
          <w:vertAlign w:val="subscript"/>
        </w:rPr>
        <w:t>T</w:t>
      </w:r>
      <w:r w:rsidR="006C3411">
        <w:tab/>
        <w:t>=</w:t>
      </w:r>
      <w:r w:rsidR="006C3411">
        <w:tab/>
      </w:r>
      <w:r>
        <w:t>Activity data</w:t>
      </w:r>
    </w:p>
    <w:p w:rsidR="009E3385" w:rsidRDefault="009E3385" w:rsidP="00F67D93">
      <w:pPr>
        <w:tabs>
          <w:tab w:val="left" w:pos="851"/>
          <w:tab w:val="left" w:pos="1134"/>
        </w:tabs>
        <w:jc w:val="left"/>
      </w:pPr>
      <w:r>
        <w:t>DOC</w:t>
      </w:r>
      <w:r w:rsidR="006C3411">
        <w:tab/>
        <w:t>=</w:t>
      </w:r>
      <w:r w:rsidR="006C3411">
        <w:tab/>
      </w:r>
      <w:r>
        <w:t>0.4</w:t>
      </w:r>
      <w:r w:rsidR="00550456">
        <w:t>0</w:t>
      </w:r>
      <w:r>
        <w:t xml:space="preserve"> for paper and textiles, 0.15 for garden and food waste, and </w:t>
      </w:r>
      <w:r w:rsidR="00945495">
        <w:t>0.43</w:t>
      </w:r>
      <w:r>
        <w:t xml:space="preserve"> for wood</w:t>
      </w:r>
    </w:p>
    <w:p w:rsidR="009E3385" w:rsidRDefault="009E3385" w:rsidP="00F67D93">
      <w:pPr>
        <w:tabs>
          <w:tab w:val="left" w:pos="851"/>
          <w:tab w:val="left" w:pos="1134"/>
        </w:tabs>
        <w:jc w:val="left"/>
      </w:pPr>
      <w:r>
        <w:t>DOC</w:t>
      </w:r>
      <w:r w:rsidRPr="00A9300E">
        <w:rPr>
          <w:vertAlign w:val="subscript"/>
        </w:rPr>
        <w:t>F</w:t>
      </w:r>
      <w:r w:rsidR="006C3411">
        <w:tab/>
        <w:t>=</w:t>
      </w:r>
      <w:r w:rsidR="006C3411">
        <w:tab/>
      </w:r>
      <w:r>
        <w:t>0.5</w:t>
      </w:r>
    </w:p>
    <w:p w:rsidR="009E3385" w:rsidRDefault="009E3385" w:rsidP="00F67D93">
      <w:pPr>
        <w:tabs>
          <w:tab w:val="left" w:pos="851"/>
          <w:tab w:val="left" w:pos="1134"/>
        </w:tabs>
        <w:jc w:val="left"/>
      </w:pPr>
      <w:r>
        <w:t>F</w:t>
      </w:r>
      <w:r w:rsidR="006C3411">
        <w:tab/>
        <w:t>=</w:t>
      </w:r>
      <w:r w:rsidR="006C3411">
        <w:tab/>
      </w:r>
      <w:r>
        <w:t>0.5</w:t>
      </w:r>
    </w:p>
    <w:p w:rsidR="009E3385" w:rsidRPr="006C3411" w:rsidRDefault="009E3385" w:rsidP="00F67D93">
      <w:pPr>
        <w:tabs>
          <w:tab w:val="left" w:pos="851"/>
          <w:tab w:val="left" w:pos="1134"/>
        </w:tabs>
        <w:jc w:val="left"/>
      </w:pPr>
      <w:r>
        <w:t>16/12</w:t>
      </w:r>
      <w:r w:rsidR="006C3411">
        <w:tab/>
      </w:r>
      <w:r>
        <w:t>–</w:t>
      </w:r>
      <w:r w:rsidR="006C3411">
        <w:tab/>
      </w:r>
      <w:r>
        <w:t>convert carbon to CO</w:t>
      </w:r>
      <w:r w:rsidRPr="00A9300E">
        <w:rPr>
          <w:vertAlign w:val="subscript"/>
        </w:rPr>
        <w:t>2</w:t>
      </w:r>
    </w:p>
    <w:p w:rsidR="009E3385" w:rsidRDefault="009E3385" w:rsidP="00F67D93">
      <w:pPr>
        <w:tabs>
          <w:tab w:val="left" w:pos="851"/>
          <w:tab w:val="left" w:pos="1134"/>
        </w:tabs>
        <w:jc w:val="left"/>
      </w:pPr>
      <w:r>
        <w:t>R</w:t>
      </w:r>
      <w:r w:rsidR="006C3411">
        <w:tab/>
        <w:t>=</w:t>
      </w:r>
      <w:r w:rsidR="006C3411">
        <w:tab/>
      </w:r>
      <w:r w:rsidR="00375B0F">
        <w:t xml:space="preserve"> </w:t>
      </w:r>
      <w:r w:rsidR="00BC5224">
        <w:t>0.</w:t>
      </w:r>
      <w:r w:rsidR="0046695A">
        <w:t>6</w:t>
      </w:r>
      <w:r w:rsidR="00866111">
        <w:t>0</w:t>
      </w:r>
      <w:r w:rsidR="0046695A">
        <w:t xml:space="preserve">6 </w:t>
      </w:r>
      <w:r>
        <w:t>where landfill gas systems are in place, 0 otherwise</w:t>
      </w:r>
    </w:p>
    <w:p w:rsidR="009E3385" w:rsidRPr="00A9300E" w:rsidRDefault="009E3385" w:rsidP="00F67D93">
      <w:pPr>
        <w:tabs>
          <w:tab w:val="left" w:pos="851"/>
          <w:tab w:val="left" w:pos="1134"/>
        </w:tabs>
        <w:jc w:val="left"/>
      </w:pPr>
      <w:r>
        <w:t>OX</w:t>
      </w:r>
      <w:r w:rsidR="006C3411">
        <w:tab/>
        <w:t>=</w:t>
      </w:r>
      <w:r w:rsidR="006C3411">
        <w:tab/>
      </w:r>
      <w:r>
        <w:t>0.1</w:t>
      </w:r>
    </w:p>
    <w:p w:rsidR="009E3385" w:rsidRDefault="009E3385" w:rsidP="00F67D93">
      <w:pPr>
        <w:jc w:val="left"/>
      </w:pPr>
    </w:p>
    <w:p w:rsidR="009E3385" w:rsidRDefault="009E3385" w:rsidP="00F67D93">
      <w:pPr>
        <w:jc w:val="left"/>
      </w:pPr>
      <w:r>
        <w:t xml:space="preserve">Table </w:t>
      </w:r>
      <w:r w:rsidR="00A666F0">
        <w:t xml:space="preserve">14 </w:t>
      </w:r>
      <w:r>
        <w:t>shows how this equation has been applied to derive the emission factors for waste deposited to landfill.</w:t>
      </w:r>
    </w:p>
    <w:p w:rsidR="009E3385" w:rsidRDefault="009E3385" w:rsidP="006C3411"/>
    <w:p w:rsidR="009E3385" w:rsidRDefault="009E3385" w:rsidP="00A21781">
      <w:pPr>
        <w:pStyle w:val="Table"/>
        <w:ind w:left="0" w:firstLine="0"/>
      </w:pPr>
      <w:bookmarkStart w:id="255" w:name="_Toc289084095"/>
      <w:bookmarkStart w:id="256" w:name="_Toc469577153"/>
      <w:r w:rsidRPr="003A7ED3">
        <w:lastRenderedPageBreak/>
        <w:t xml:space="preserve">Table </w:t>
      </w:r>
      <w:r w:rsidR="00A666F0">
        <w:t>1</w:t>
      </w:r>
      <w:r w:rsidR="004117B6">
        <w:t>5</w:t>
      </w:r>
      <w:r w:rsidRPr="003A7ED3">
        <w:t>:</w:t>
      </w:r>
      <w:r w:rsidRPr="003A7ED3">
        <w:tab/>
        <w:t>Derivation of emission factors for waste deposited to landfill</w:t>
      </w:r>
      <w:bookmarkEnd w:id="255"/>
      <w:bookmarkEnd w:id="256"/>
    </w:p>
    <w:tbl>
      <w:tblPr>
        <w:tblW w:w="850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974"/>
        <w:gridCol w:w="549"/>
        <w:gridCol w:w="1502"/>
        <w:gridCol w:w="4480"/>
      </w:tblGrid>
      <w:tr w:rsidR="00A21781" w:rsidRPr="009C707C" w:rsidTr="00A56226">
        <w:trPr>
          <w:cantSplit/>
        </w:trPr>
        <w:tc>
          <w:tcPr>
            <w:tcW w:w="1974" w:type="dxa"/>
            <w:shd w:val="clear" w:color="auto" w:fill="D9D9D9"/>
            <w:vAlign w:val="bottom"/>
          </w:tcPr>
          <w:p w:rsidR="00A21781" w:rsidRDefault="00A21781" w:rsidP="00090857">
            <w:pPr>
              <w:pStyle w:val="TableText"/>
              <w:keepNext/>
              <w:rPr>
                <w:b/>
                <w:lang w:eastAsia="en-GB"/>
              </w:rPr>
            </w:pPr>
            <w:r w:rsidRPr="009C707C">
              <w:rPr>
                <w:b/>
                <w:lang w:eastAsia="en-GB"/>
              </w:rPr>
              <w:t>Emission source</w:t>
            </w:r>
          </w:p>
          <w:p w:rsidR="004F1E88" w:rsidRPr="009C707C" w:rsidRDefault="004F1E88" w:rsidP="00090857">
            <w:pPr>
              <w:pStyle w:val="TableText"/>
              <w:keepNext/>
              <w:rPr>
                <w:b/>
                <w:lang w:eastAsia="en-GB"/>
              </w:rPr>
            </w:pPr>
          </w:p>
        </w:tc>
        <w:tc>
          <w:tcPr>
            <w:tcW w:w="549" w:type="dxa"/>
            <w:shd w:val="clear" w:color="auto" w:fill="D9D9D9"/>
            <w:vAlign w:val="bottom"/>
          </w:tcPr>
          <w:p w:rsidR="00A21781" w:rsidRPr="009C707C" w:rsidRDefault="00A21781" w:rsidP="00090857">
            <w:pPr>
              <w:pStyle w:val="TableText"/>
              <w:keepNext/>
              <w:rPr>
                <w:b/>
                <w:lang w:eastAsia="en-GB"/>
              </w:rPr>
            </w:pPr>
            <w:r>
              <w:rPr>
                <w:b/>
                <w:lang w:eastAsia="en-GB"/>
              </w:rPr>
              <w:t>U</w:t>
            </w:r>
            <w:r w:rsidRPr="009C707C">
              <w:rPr>
                <w:b/>
                <w:lang w:eastAsia="en-GB"/>
              </w:rPr>
              <w:t>nit</w:t>
            </w:r>
          </w:p>
        </w:tc>
        <w:tc>
          <w:tcPr>
            <w:tcW w:w="1502" w:type="dxa"/>
            <w:shd w:val="clear" w:color="auto" w:fill="D9D9D9"/>
            <w:vAlign w:val="bottom"/>
          </w:tcPr>
          <w:p w:rsidR="00A21781" w:rsidRPr="009C707C" w:rsidRDefault="00A21781" w:rsidP="00090857">
            <w:pPr>
              <w:pStyle w:val="TableText"/>
              <w:keepNext/>
              <w:rPr>
                <w:b/>
                <w:lang w:eastAsia="en-GB"/>
              </w:rPr>
            </w:pPr>
            <w:r w:rsidRPr="00B44542">
              <w:rPr>
                <w:b/>
              </w:rPr>
              <w:t>Emission factor total CO</w:t>
            </w:r>
            <w:r w:rsidRPr="00B44542">
              <w:rPr>
                <w:b/>
                <w:vertAlign w:val="subscript"/>
              </w:rPr>
              <w:t>2</w:t>
            </w:r>
            <w:r w:rsidRPr="00B44542">
              <w:rPr>
                <w:b/>
              </w:rPr>
              <w:t>-e</w:t>
            </w:r>
            <w:r>
              <w:rPr>
                <w:b/>
              </w:rPr>
              <w:br/>
            </w:r>
            <w:r>
              <w:rPr>
                <w:b/>
                <w:lang w:eastAsia="en-GB"/>
              </w:rPr>
              <w:t>(Kg</w:t>
            </w:r>
            <w:r w:rsidRPr="009C707C">
              <w:rPr>
                <w:b/>
                <w:lang w:eastAsia="en-GB"/>
              </w:rPr>
              <w:t xml:space="preserve"> </w:t>
            </w:r>
            <w:r w:rsidRPr="00FC00B0">
              <w:rPr>
                <w:b/>
                <w:lang w:eastAsia="en-GB"/>
              </w:rPr>
              <w:t>CO</w:t>
            </w:r>
            <w:r w:rsidRPr="00FC00B0">
              <w:rPr>
                <w:b/>
                <w:vertAlign w:val="subscript"/>
                <w:lang w:eastAsia="en-GB"/>
              </w:rPr>
              <w:t>2</w:t>
            </w:r>
            <w:r>
              <w:rPr>
                <w:b/>
                <w:lang w:eastAsia="en-GB"/>
              </w:rPr>
              <w:t>-</w:t>
            </w:r>
            <w:r w:rsidRPr="00FC00B0">
              <w:rPr>
                <w:b/>
                <w:lang w:eastAsia="en-GB"/>
              </w:rPr>
              <w:t>e</w:t>
            </w:r>
            <w:r w:rsidRPr="009C707C">
              <w:rPr>
                <w:b/>
                <w:lang w:eastAsia="en-GB"/>
              </w:rPr>
              <w:t>/unit</w:t>
            </w:r>
            <w:r>
              <w:rPr>
                <w:b/>
                <w:lang w:eastAsia="en-GB"/>
              </w:rPr>
              <w:t>)</w:t>
            </w:r>
          </w:p>
        </w:tc>
        <w:tc>
          <w:tcPr>
            <w:tcW w:w="4480" w:type="dxa"/>
            <w:shd w:val="clear" w:color="auto" w:fill="D9D9D9"/>
            <w:vAlign w:val="bottom"/>
          </w:tcPr>
          <w:p w:rsidR="00A21781" w:rsidRPr="009C707C" w:rsidRDefault="00A21781" w:rsidP="00090857">
            <w:pPr>
              <w:pStyle w:val="TableText"/>
              <w:keepNext/>
              <w:rPr>
                <w:b/>
                <w:lang w:eastAsia="en-GB"/>
              </w:rPr>
            </w:pPr>
            <w:r w:rsidRPr="009C707C">
              <w:rPr>
                <w:b/>
                <w:lang w:eastAsia="en-GB"/>
              </w:rPr>
              <w:t>Equation</w:t>
            </w:r>
          </w:p>
        </w:tc>
      </w:tr>
      <w:tr w:rsidR="00A21781" w:rsidRPr="000F1882" w:rsidTr="00A56226">
        <w:trPr>
          <w:cantSplit/>
        </w:trPr>
        <w:tc>
          <w:tcPr>
            <w:tcW w:w="8505" w:type="dxa"/>
            <w:gridSpan w:val="4"/>
            <w:shd w:val="clear" w:color="auto" w:fill="FFFFFF"/>
          </w:tcPr>
          <w:p w:rsidR="00A21781" w:rsidRPr="009C707C" w:rsidRDefault="00A21781" w:rsidP="00090857">
            <w:pPr>
              <w:pStyle w:val="TableText"/>
              <w:keepNext/>
              <w:rPr>
                <w:b/>
                <w:lang w:eastAsia="en-GB"/>
              </w:rPr>
            </w:pPr>
            <w:r w:rsidRPr="009C707C">
              <w:rPr>
                <w:b/>
                <w:lang w:eastAsia="en-GB"/>
              </w:rPr>
              <w:t>Landfilled waste of known composition (without landfill gas recovery)</w:t>
            </w:r>
          </w:p>
        </w:tc>
      </w:tr>
      <w:tr w:rsidR="00E65C00" w:rsidRPr="000F1882" w:rsidTr="00285D6C">
        <w:trPr>
          <w:cantSplit/>
        </w:trPr>
        <w:tc>
          <w:tcPr>
            <w:tcW w:w="1974" w:type="dxa"/>
            <w:shd w:val="clear" w:color="auto" w:fill="auto"/>
          </w:tcPr>
          <w:p w:rsidR="00E65C00" w:rsidRPr="000F1882" w:rsidRDefault="00E65C00" w:rsidP="00090857">
            <w:pPr>
              <w:pStyle w:val="TableText"/>
              <w:keepNext/>
              <w:rPr>
                <w:lang w:eastAsia="en-GB"/>
              </w:rPr>
            </w:pPr>
            <w:r w:rsidRPr="000F1882">
              <w:rPr>
                <w:lang w:eastAsia="en-GB"/>
              </w:rPr>
              <w:t>Paper and textiles</w:t>
            </w:r>
          </w:p>
        </w:tc>
        <w:tc>
          <w:tcPr>
            <w:tcW w:w="549" w:type="dxa"/>
            <w:shd w:val="clear" w:color="auto" w:fill="auto"/>
          </w:tcPr>
          <w:p w:rsidR="00E65C00" w:rsidRPr="000F1882" w:rsidRDefault="00E65C00" w:rsidP="00090857">
            <w:pPr>
              <w:pStyle w:val="TableText"/>
              <w:keepNext/>
              <w:rPr>
                <w:lang w:eastAsia="en-GB"/>
              </w:rPr>
            </w:pPr>
            <w:r w:rsidRPr="000F1882">
              <w:rPr>
                <w:lang w:eastAsia="en-GB"/>
              </w:rPr>
              <w:t>kg</w:t>
            </w:r>
          </w:p>
        </w:tc>
        <w:tc>
          <w:tcPr>
            <w:tcW w:w="1502" w:type="dxa"/>
            <w:shd w:val="clear" w:color="auto" w:fill="auto"/>
            <w:noWrap/>
            <w:vAlign w:val="bottom"/>
          </w:tcPr>
          <w:p w:rsidR="00E65C00" w:rsidRPr="00E65C00" w:rsidRDefault="00E65C00" w:rsidP="00090857">
            <w:pPr>
              <w:pStyle w:val="TableText"/>
              <w:keepNext/>
              <w:jc w:val="right"/>
              <w:rPr>
                <w:rFonts w:cs="Arial"/>
                <w:szCs w:val="16"/>
              </w:rPr>
            </w:pPr>
            <w:r w:rsidRPr="00285D6C">
              <w:rPr>
                <w:rFonts w:cs="Arial"/>
                <w:szCs w:val="16"/>
              </w:rPr>
              <w:t>3.00</w:t>
            </w:r>
          </w:p>
        </w:tc>
        <w:tc>
          <w:tcPr>
            <w:tcW w:w="4480" w:type="dxa"/>
            <w:shd w:val="clear" w:color="auto" w:fill="auto"/>
          </w:tcPr>
          <w:p w:rsidR="00E65C00" w:rsidRPr="00CB3567" w:rsidRDefault="00E65C00" w:rsidP="00090857">
            <w:pPr>
              <w:pStyle w:val="TableText"/>
              <w:keepNext/>
              <w:jc w:val="right"/>
              <w:rPr>
                <w:rFonts w:cs="Arial"/>
                <w:szCs w:val="16"/>
              </w:rPr>
            </w:pPr>
            <w:r w:rsidRPr="00CB3567">
              <w:rPr>
                <w:rFonts w:cs="Arial"/>
                <w:szCs w:val="16"/>
              </w:rPr>
              <w:t>(0.4</w:t>
            </w:r>
            <w:r w:rsidR="009A7B0D">
              <w:rPr>
                <w:rFonts w:cs="Arial"/>
                <w:szCs w:val="16"/>
              </w:rPr>
              <w:t>0</w:t>
            </w:r>
            <w:r w:rsidRPr="00CB3567">
              <w:rPr>
                <w:rFonts w:cs="Arial"/>
                <w:szCs w:val="16"/>
              </w:rPr>
              <w:t xml:space="preserve"> * 0.5 * 0.5 * 16/12) * (1-0.1) * 2</w:t>
            </w:r>
            <w:r w:rsidR="00900809">
              <w:rPr>
                <w:rFonts w:cs="Arial"/>
                <w:szCs w:val="16"/>
              </w:rPr>
              <w:t>5</w:t>
            </w:r>
          </w:p>
        </w:tc>
      </w:tr>
      <w:tr w:rsidR="00E65C00" w:rsidRPr="000F1882" w:rsidTr="00285D6C">
        <w:trPr>
          <w:cantSplit/>
        </w:trPr>
        <w:tc>
          <w:tcPr>
            <w:tcW w:w="1974" w:type="dxa"/>
            <w:shd w:val="clear" w:color="auto" w:fill="auto"/>
          </w:tcPr>
          <w:p w:rsidR="00E65C00" w:rsidRPr="000F1882" w:rsidRDefault="00E65C00" w:rsidP="00090857">
            <w:pPr>
              <w:pStyle w:val="TableText"/>
              <w:keepNext/>
              <w:rPr>
                <w:lang w:eastAsia="en-GB"/>
              </w:rPr>
            </w:pPr>
            <w:r w:rsidRPr="000F1882">
              <w:rPr>
                <w:lang w:eastAsia="en-GB"/>
              </w:rPr>
              <w:t>Garden and food</w:t>
            </w:r>
          </w:p>
        </w:tc>
        <w:tc>
          <w:tcPr>
            <w:tcW w:w="549" w:type="dxa"/>
            <w:shd w:val="clear" w:color="auto" w:fill="auto"/>
          </w:tcPr>
          <w:p w:rsidR="00E65C00" w:rsidRPr="000F1882" w:rsidRDefault="00E65C00" w:rsidP="00090857">
            <w:pPr>
              <w:pStyle w:val="TableText"/>
              <w:keepNext/>
              <w:rPr>
                <w:lang w:eastAsia="en-GB"/>
              </w:rPr>
            </w:pPr>
            <w:r w:rsidRPr="000F1882">
              <w:rPr>
                <w:lang w:eastAsia="en-GB"/>
              </w:rPr>
              <w:t>kg</w:t>
            </w:r>
          </w:p>
        </w:tc>
        <w:tc>
          <w:tcPr>
            <w:tcW w:w="1502" w:type="dxa"/>
            <w:shd w:val="clear" w:color="auto" w:fill="auto"/>
            <w:noWrap/>
            <w:vAlign w:val="bottom"/>
          </w:tcPr>
          <w:p w:rsidR="00E65C00" w:rsidRPr="00E65C00" w:rsidRDefault="00E65C00" w:rsidP="00090857">
            <w:pPr>
              <w:pStyle w:val="TableText"/>
              <w:keepNext/>
              <w:jc w:val="right"/>
              <w:rPr>
                <w:rFonts w:cs="Arial"/>
                <w:szCs w:val="16"/>
              </w:rPr>
            </w:pPr>
            <w:r w:rsidRPr="00285D6C">
              <w:rPr>
                <w:rFonts w:cs="Arial"/>
                <w:szCs w:val="16"/>
              </w:rPr>
              <w:t>1.13</w:t>
            </w:r>
          </w:p>
        </w:tc>
        <w:tc>
          <w:tcPr>
            <w:tcW w:w="4480" w:type="dxa"/>
            <w:shd w:val="clear" w:color="auto" w:fill="auto"/>
          </w:tcPr>
          <w:p w:rsidR="00E65C00" w:rsidRPr="00CB3567" w:rsidRDefault="00E65C00" w:rsidP="00090857">
            <w:pPr>
              <w:pStyle w:val="TableText"/>
              <w:keepNext/>
              <w:jc w:val="right"/>
              <w:rPr>
                <w:rFonts w:cs="Arial"/>
                <w:szCs w:val="16"/>
              </w:rPr>
            </w:pPr>
            <w:r>
              <w:rPr>
                <w:rFonts w:cs="Arial"/>
                <w:szCs w:val="16"/>
              </w:rPr>
              <w:t>(0.15</w:t>
            </w:r>
            <w:r w:rsidRPr="00CB3567">
              <w:rPr>
                <w:rFonts w:cs="Arial"/>
                <w:szCs w:val="16"/>
              </w:rPr>
              <w:t xml:space="preserve"> * 0.5 * 0.5 * 16/12) * (1-0.1) * 2</w:t>
            </w:r>
            <w:r w:rsidR="00900809">
              <w:rPr>
                <w:rFonts w:cs="Arial"/>
                <w:szCs w:val="16"/>
              </w:rPr>
              <w:t>5</w:t>
            </w:r>
          </w:p>
        </w:tc>
      </w:tr>
      <w:tr w:rsidR="00E65C00" w:rsidRPr="000F1882" w:rsidTr="00285D6C">
        <w:trPr>
          <w:cantSplit/>
        </w:trPr>
        <w:tc>
          <w:tcPr>
            <w:tcW w:w="1974" w:type="dxa"/>
            <w:shd w:val="clear" w:color="auto" w:fill="auto"/>
          </w:tcPr>
          <w:p w:rsidR="00E65C00" w:rsidRPr="000F1882" w:rsidRDefault="00E65C00" w:rsidP="00090857">
            <w:pPr>
              <w:pStyle w:val="TableText"/>
              <w:keepNext/>
              <w:rPr>
                <w:lang w:eastAsia="en-GB"/>
              </w:rPr>
            </w:pPr>
            <w:r w:rsidRPr="000F1882">
              <w:rPr>
                <w:lang w:eastAsia="en-GB"/>
              </w:rPr>
              <w:t>Wood</w:t>
            </w:r>
          </w:p>
        </w:tc>
        <w:tc>
          <w:tcPr>
            <w:tcW w:w="549" w:type="dxa"/>
            <w:shd w:val="clear" w:color="auto" w:fill="auto"/>
          </w:tcPr>
          <w:p w:rsidR="00E65C00" w:rsidRPr="000F1882" w:rsidRDefault="00E65C00" w:rsidP="00090857">
            <w:pPr>
              <w:pStyle w:val="TableText"/>
              <w:keepNext/>
              <w:rPr>
                <w:lang w:eastAsia="en-GB"/>
              </w:rPr>
            </w:pPr>
            <w:r w:rsidRPr="000F1882">
              <w:rPr>
                <w:lang w:eastAsia="en-GB"/>
              </w:rPr>
              <w:t>kg</w:t>
            </w:r>
          </w:p>
        </w:tc>
        <w:tc>
          <w:tcPr>
            <w:tcW w:w="1502" w:type="dxa"/>
            <w:shd w:val="clear" w:color="auto" w:fill="auto"/>
            <w:noWrap/>
            <w:vAlign w:val="bottom"/>
          </w:tcPr>
          <w:p w:rsidR="00E65C00" w:rsidRPr="00E65C00" w:rsidRDefault="009A7B0D" w:rsidP="00090857">
            <w:pPr>
              <w:pStyle w:val="TableText"/>
              <w:keepNext/>
              <w:jc w:val="right"/>
              <w:rPr>
                <w:rFonts w:cs="Arial"/>
                <w:szCs w:val="16"/>
              </w:rPr>
            </w:pPr>
            <w:r>
              <w:rPr>
                <w:rFonts w:cs="Arial"/>
                <w:szCs w:val="16"/>
              </w:rPr>
              <w:t>3.23</w:t>
            </w:r>
          </w:p>
        </w:tc>
        <w:tc>
          <w:tcPr>
            <w:tcW w:w="4480" w:type="dxa"/>
            <w:shd w:val="clear" w:color="auto" w:fill="auto"/>
          </w:tcPr>
          <w:p w:rsidR="00E65C00" w:rsidRPr="00CB3567" w:rsidRDefault="00E65C00" w:rsidP="00090857">
            <w:pPr>
              <w:pStyle w:val="TableText"/>
              <w:keepNext/>
              <w:jc w:val="right"/>
              <w:rPr>
                <w:rFonts w:cs="Arial"/>
                <w:szCs w:val="16"/>
              </w:rPr>
            </w:pPr>
            <w:r w:rsidRPr="00CB3567">
              <w:rPr>
                <w:rFonts w:cs="Arial"/>
                <w:szCs w:val="16"/>
              </w:rPr>
              <w:t>(0.</w:t>
            </w:r>
            <w:r w:rsidR="009A7B0D">
              <w:rPr>
                <w:rFonts w:cs="Arial"/>
                <w:szCs w:val="16"/>
              </w:rPr>
              <w:t>43</w:t>
            </w:r>
            <w:r w:rsidRPr="00CB3567">
              <w:rPr>
                <w:rFonts w:cs="Arial"/>
                <w:szCs w:val="16"/>
              </w:rPr>
              <w:t xml:space="preserve"> * 0.5 * 0.5 * 16/12) * (1-0.1) * 2</w:t>
            </w:r>
            <w:r w:rsidR="00900809">
              <w:rPr>
                <w:rFonts w:cs="Arial"/>
                <w:szCs w:val="16"/>
              </w:rPr>
              <w:t>5</w:t>
            </w:r>
          </w:p>
        </w:tc>
      </w:tr>
      <w:tr w:rsidR="00E65C00" w:rsidRPr="000F1882" w:rsidTr="00A56226">
        <w:trPr>
          <w:cantSplit/>
        </w:trPr>
        <w:tc>
          <w:tcPr>
            <w:tcW w:w="8505" w:type="dxa"/>
            <w:gridSpan w:val="4"/>
            <w:shd w:val="clear" w:color="auto" w:fill="FFFFFF"/>
          </w:tcPr>
          <w:p w:rsidR="00E65C00" w:rsidRPr="009C707C" w:rsidRDefault="00E65C00" w:rsidP="00090857">
            <w:pPr>
              <w:pStyle w:val="TableText"/>
              <w:keepNext/>
              <w:rPr>
                <w:b/>
                <w:lang w:eastAsia="en-GB"/>
              </w:rPr>
            </w:pPr>
            <w:r w:rsidRPr="009C707C">
              <w:rPr>
                <w:b/>
                <w:lang w:eastAsia="en-GB"/>
              </w:rPr>
              <w:t>Landfilled waste of known composition (with landfill gas recovery)</w:t>
            </w:r>
          </w:p>
        </w:tc>
      </w:tr>
      <w:tr w:rsidR="00E65C00" w:rsidRPr="000F1882" w:rsidTr="00285D6C">
        <w:trPr>
          <w:cantSplit/>
        </w:trPr>
        <w:tc>
          <w:tcPr>
            <w:tcW w:w="1974" w:type="dxa"/>
            <w:shd w:val="clear" w:color="auto" w:fill="auto"/>
          </w:tcPr>
          <w:p w:rsidR="00E65C00" w:rsidRPr="000F1882" w:rsidRDefault="00E65C00" w:rsidP="00090857">
            <w:pPr>
              <w:pStyle w:val="TableText"/>
              <w:keepNext/>
              <w:rPr>
                <w:lang w:eastAsia="en-GB"/>
              </w:rPr>
            </w:pPr>
            <w:r w:rsidRPr="000F1882">
              <w:rPr>
                <w:lang w:eastAsia="en-GB"/>
              </w:rPr>
              <w:t>Paper and textiles</w:t>
            </w:r>
          </w:p>
        </w:tc>
        <w:tc>
          <w:tcPr>
            <w:tcW w:w="549" w:type="dxa"/>
            <w:shd w:val="clear" w:color="auto" w:fill="auto"/>
          </w:tcPr>
          <w:p w:rsidR="00E65C00" w:rsidRPr="000F1882" w:rsidRDefault="00E65C00" w:rsidP="00090857">
            <w:pPr>
              <w:pStyle w:val="TableText"/>
              <w:keepNext/>
              <w:rPr>
                <w:lang w:eastAsia="en-GB"/>
              </w:rPr>
            </w:pPr>
            <w:r w:rsidRPr="000F1882">
              <w:rPr>
                <w:lang w:eastAsia="en-GB"/>
              </w:rPr>
              <w:t>kg</w:t>
            </w:r>
          </w:p>
        </w:tc>
        <w:tc>
          <w:tcPr>
            <w:tcW w:w="1502" w:type="dxa"/>
            <w:shd w:val="clear" w:color="auto" w:fill="auto"/>
            <w:noWrap/>
            <w:vAlign w:val="bottom"/>
          </w:tcPr>
          <w:p w:rsidR="00E65C00" w:rsidRPr="00E65C00" w:rsidRDefault="00D7386E" w:rsidP="00090857">
            <w:pPr>
              <w:pStyle w:val="TableText"/>
              <w:keepNext/>
              <w:jc w:val="right"/>
              <w:rPr>
                <w:rFonts w:cs="Arial"/>
                <w:szCs w:val="16"/>
              </w:rPr>
            </w:pPr>
            <w:r>
              <w:rPr>
                <w:rFonts w:cs="Arial"/>
                <w:szCs w:val="16"/>
              </w:rPr>
              <w:t>1.183</w:t>
            </w:r>
          </w:p>
        </w:tc>
        <w:tc>
          <w:tcPr>
            <w:tcW w:w="4480" w:type="dxa"/>
            <w:shd w:val="clear" w:color="auto" w:fill="auto"/>
          </w:tcPr>
          <w:p w:rsidR="00E65C00" w:rsidRPr="00CB3567" w:rsidRDefault="00E65C00" w:rsidP="00090857">
            <w:pPr>
              <w:pStyle w:val="TableText"/>
              <w:keepNext/>
              <w:jc w:val="right"/>
              <w:rPr>
                <w:rFonts w:cs="Arial"/>
                <w:szCs w:val="16"/>
              </w:rPr>
            </w:pPr>
            <w:r w:rsidRPr="00CB3567">
              <w:rPr>
                <w:rFonts w:cs="Arial"/>
                <w:szCs w:val="16"/>
              </w:rPr>
              <w:t>(0.4</w:t>
            </w:r>
            <w:r w:rsidR="009A7B0D">
              <w:rPr>
                <w:rFonts w:cs="Arial"/>
                <w:szCs w:val="16"/>
              </w:rPr>
              <w:t>0</w:t>
            </w:r>
            <w:r w:rsidRPr="00CB3567">
              <w:rPr>
                <w:rFonts w:cs="Arial"/>
                <w:szCs w:val="16"/>
              </w:rPr>
              <w:t xml:space="preserve"> * 0.5 * 0.5 * 16/12) * </w:t>
            </w:r>
            <w:r>
              <w:rPr>
                <w:rFonts w:cs="Arial"/>
                <w:szCs w:val="16"/>
              </w:rPr>
              <w:t>(1-</w:t>
            </w:r>
            <w:r w:rsidR="00866111">
              <w:rPr>
                <w:rFonts w:cs="Arial"/>
                <w:szCs w:val="16"/>
              </w:rPr>
              <w:t>0.606</w:t>
            </w:r>
            <w:r w:rsidRPr="00CB3567">
              <w:rPr>
                <w:rFonts w:cs="Arial"/>
                <w:szCs w:val="16"/>
              </w:rPr>
              <w:t>) * (1-0.1) * 2</w:t>
            </w:r>
            <w:r w:rsidR="00900809">
              <w:rPr>
                <w:rFonts w:cs="Arial"/>
                <w:szCs w:val="16"/>
              </w:rPr>
              <w:t>5</w:t>
            </w:r>
          </w:p>
        </w:tc>
      </w:tr>
      <w:tr w:rsidR="00E65C00" w:rsidRPr="000F1882" w:rsidTr="00285D6C">
        <w:trPr>
          <w:cantSplit/>
        </w:trPr>
        <w:tc>
          <w:tcPr>
            <w:tcW w:w="1974" w:type="dxa"/>
            <w:shd w:val="clear" w:color="auto" w:fill="auto"/>
          </w:tcPr>
          <w:p w:rsidR="00E65C00" w:rsidRPr="000F1882" w:rsidRDefault="00E65C00" w:rsidP="00090857">
            <w:pPr>
              <w:pStyle w:val="TableText"/>
              <w:keepNext/>
              <w:rPr>
                <w:lang w:eastAsia="en-GB"/>
              </w:rPr>
            </w:pPr>
            <w:r w:rsidRPr="000F1882">
              <w:rPr>
                <w:lang w:eastAsia="en-GB"/>
              </w:rPr>
              <w:t>Garden and food</w:t>
            </w:r>
          </w:p>
        </w:tc>
        <w:tc>
          <w:tcPr>
            <w:tcW w:w="549" w:type="dxa"/>
            <w:shd w:val="clear" w:color="auto" w:fill="auto"/>
          </w:tcPr>
          <w:p w:rsidR="00E65C00" w:rsidRPr="000F1882" w:rsidRDefault="00E65C00" w:rsidP="00090857">
            <w:pPr>
              <w:pStyle w:val="TableText"/>
              <w:keepNext/>
              <w:rPr>
                <w:lang w:eastAsia="en-GB"/>
              </w:rPr>
            </w:pPr>
            <w:r w:rsidRPr="000F1882">
              <w:rPr>
                <w:lang w:eastAsia="en-GB"/>
              </w:rPr>
              <w:t>kg</w:t>
            </w:r>
          </w:p>
        </w:tc>
        <w:tc>
          <w:tcPr>
            <w:tcW w:w="1502" w:type="dxa"/>
            <w:shd w:val="clear" w:color="auto" w:fill="auto"/>
            <w:noWrap/>
            <w:vAlign w:val="bottom"/>
          </w:tcPr>
          <w:p w:rsidR="00E65C00" w:rsidRPr="00E65C00" w:rsidRDefault="00E65C00" w:rsidP="00090857">
            <w:pPr>
              <w:pStyle w:val="TableText"/>
              <w:keepNext/>
              <w:jc w:val="right"/>
              <w:rPr>
                <w:rFonts w:cs="Arial"/>
                <w:szCs w:val="16"/>
              </w:rPr>
            </w:pPr>
            <w:r w:rsidRPr="00285D6C">
              <w:rPr>
                <w:rFonts w:cs="Arial"/>
                <w:szCs w:val="16"/>
              </w:rPr>
              <w:t>0.</w:t>
            </w:r>
            <w:r w:rsidR="00D7386E">
              <w:rPr>
                <w:rFonts w:cs="Arial"/>
                <w:szCs w:val="16"/>
              </w:rPr>
              <w:t>444</w:t>
            </w:r>
          </w:p>
        </w:tc>
        <w:tc>
          <w:tcPr>
            <w:tcW w:w="4480" w:type="dxa"/>
            <w:shd w:val="clear" w:color="auto" w:fill="auto"/>
          </w:tcPr>
          <w:p w:rsidR="00E65C00" w:rsidRPr="00CB3567" w:rsidRDefault="00E65C00" w:rsidP="00090857">
            <w:pPr>
              <w:pStyle w:val="TableText"/>
              <w:keepNext/>
              <w:jc w:val="right"/>
              <w:rPr>
                <w:rFonts w:cs="Arial"/>
                <w:szCs w:val="16"/>
              </w:rPr>
            </w:pPr>
            <w:r>
              <w:rPr>
                <w:rFonts w:cs="Arial"/>
                <w:szCs w:val="16"/>
              </w:rPr>
              <w:t>(0.15 * 0.5 * 0.5 * 16/12) * (1-</w:t>
            </w:r>
            <w:r w:rsidR="00866111">
              <w:rPr>
                <w:rFonts w:cs="Arial"/>
                <w:szCs w:val="16"/>
              </w:rPr>
              <w:t>0.606</w:t>
            </w:r>
            <w:r w:rsidRPr="00CB3567">
              <w:rPr>
                <w:rFonts w:cs="Arial"/>
                <w:szCs w:val="16"/>
              </w:rPr>
              <w:t>) * (1-0.1) * 2</w:t>
            </w:r>
            <w:r w:rsidR="00900809">
              <w:rPr>
                <w:rFonts w:cs="Arial"/>
                <w:szCs w:val="16"/>
              </w:rPr>
              <w:t>5</w:t>
            </w:r>
          </w:p>
        </w:tc>
      </w:tr>
      <w:tr w:rsidR="00E65C00" w:rsidRPr="000F1882" w:rsidTr="00285D6C">
        <w:trPr>
          <w:cantSplit/>
        </w:trPr>
        <w:tc>
          <w:tcPr>
            <w:tcW w:w="1974" w:type="dxa"/>
            <w:shd w:val="clear" w:color="auto" w:fill="auto"/>
          </w:tcPr>
          <w:p w:rsidR="00E65C00" w:rsidRPr="000F1882" w:rsidRDefault="00E65C00" w:rsidP="00090857">
            <w:pPr>
              <w:pStyle w:val="TableText"/>
              <w:keepNext/>
              <w:rPr>
                <w:lang w:eastAsia="en-GB"/>
              </w:rPr>
            </w:pPr>
            <w:r w:rsidRPr="000F1882">
              <w:rPr>
                <w:lang w:eastAsia="en-GB"/>
              </w:rPr>
              <w:t>Wood</w:t>
            </w:r>
          </w:p>
        </w:tc>
        <w:tc>
          <w:tcPr>
            <w:tcW w:w="549" w:type="dxa"/>
            <w:shd w:val="clear" w:color="auto" w:fill="auto"/>
          </w:tcPr>
          <w:p w:rsidR="00E65C00" w:rsidRPr="000F1882" w:rsidRDefault="00E65C00" w:rsidP="00090857">
            <w:pPr>
              <w:pStyle w:val="TableText"/>
              <w:keepNext/>
              <w:rPr>
                <w:lang w:eastAsia="en-GB"/>
              </w:rPr>
            </w:pPr>
            <w:r w:rsidRPr="000F1882">
              <w:rPr>
                <w:lang w:eastAsia="en-GB"/>
              </w:rPr>
              <w:t>kg</w:t>
            </w:r>
          </w:p>
        </w:tc>
        <w:tc>
          <w:tcPr>
            <w:tcW w:w="1502" w:type="dxa"/>
            <w:shd w:val="clear" w:color="auto" w:fill="auto"/>
            <w:noWrap/>
            <w:vAlign w:val="bottom"/>
          </w:tcPr>
          <w:p w:rsidR="00E65C00" w:rsidRPr="00E65C00" w:rsidRDefault="00D7386E" w:rsidP="00090857">
            <w:pPr>
              <w:pStyle w:val="TableText"/>
              <w:keepNext/>
              <w:jc w:val="right"/>
              <w:rPr>
                <w:rFonts w:cs="Arial"/>
                <w:szCs w:val="16"/>
              </w:rPr>
            </w:pPr>
            <w:r>
              <w:rPr>
                <w:rFonts w:cs="Arial"/>
                <w:szCs w:val="16"/>
              </w:rPr>
              <w:t>1.272</w:t>
            </w:r>
          </w:p>
        </w:tc>
        <w:tc>
          <w:tcPr>
            <w:tcW w:w="4480" w:type="dxa"/>
            <w:shd w:val="clear" w:color="auto" w:fill="auto"/>
          </w:tcPr>
          <w:p w:rsidR="00E65C00" w:rsidRPr="00CB3567" w:rsidRDefault="00E65C00" w:rsidP="00090857">
            <w:pPr>
              <w:pStyle w:val="TableText"/>
              <w:keepNext/>
              <w:jc w:val="right"/>
              <w:rPr>
                <w:rFonts w:cs="Arial"/>
                <w:szCs w:val="16"/>
              </w:rPr>
            </w:pPr>
            <w:r w:rsidRPr="00CB3567">
              <w:rPr>
                <w:rFonts w:cs="Arial"/>
                <w:szCs w:val="16"/>
              </w:rPr>
              <w:t>(0.</w:t>
            </w:r>
            <w:r w:rsidR="009A7B0D">
              <w:rPr>
                <w:rFonts w:cs="Arial"/>
                <w:szCs w:val="16"/>
              </w:rPr>
              <w:t>43</w:t>
            </w:r>
            <w:r>
              <w:rPr>
                <w:rFonts w:cs="Arial"/>
                <w:szCs w:val="16"/>
              </w:rPr>
              <w:t xml:space="preserve"> * 0.5 * 0.5 * 16/12) * (1-</w:t>
            </w:r>
            <w:r w:rsidR="005243B1">
              <w:rPr>
                <w:rFonts w:cs="Arial"/>
                <w:szCs w:val="16"/>
              </w:rPr>
              <w:t>0.606</w:t>
            </w:r>
            <w:r w:rsidRPr="00CB3567">
              <w:rPr>
                <w:rFonts w:cs="Arial"/>
                <w:szCs w:val="16"/>
              </w:rPr>
              <w:t>) *(1-0.1) * 2</w:t>
            </w:r>
            <w:r w:rsidR="00900809">
              <w:rPr>
                <w:rFonts w:cs="Arial"/>
                <w:szCs w:val="16"/>
              </w:rPr>
              <w:t>5</w:t>
            </w:r>
          </w:p>
        </w:tc>
      </w:tr>
      <w:tr w:rsidR="00E65C00" w:rsidRPr="000F1882" w:rsidTr="00A56226">
        <w:trPr>
          <w:cantSplit/>
        </w:trPr>
        <w:tc>
          <w:tcPr>
            <w:tcW w:w="8505" w:type="dxa"/>
            <w:gridSpan w:val="4"/>
            <w:shd w:val="clear" w:color="auto" w:fill="FFFFFF"/>
          </w:tcPr>
          <w:p w:rsidR="00E65C00" w:rsidRPr="009C707C" w:rsidRDefault="00E65C00" w:rsidP="00090857">
            <w:pPr>
              <w:pStyle w:val="TableText"/>
              <w:keepNext/>
              <w:rPr>
                <w:b/>
                <w:lang w:eastAsia="en-GB"/>
              </w:rPr>
            </w:pPr>
            <w:r w:rsidRPr="009C707C">
              <w:rPr>
                <w:b/>
                <w:lang w:eastAsia="en-GB"/>
              </w:rPr>
              <w:t>Landfilled waste – default values (without landfill gas recovery)</w:t>
            </w:r>
          </w:p>
        </w:tc>
      </w:tr>
      <w:tr w:rsidR="00E65C00" w:rsidRPr="00EC1302" w:rsidTr="00285D6C">
        <w:trPr>
          <w:cantSplit/>
        </w:trPr>
        <w:tc>
          <w:tcPr>
            <w:tcW w:w="1974" w:type="dxa"/>
            <w:shd w:val="clear" w:color="auto" w:fill="auto"/>
          </w:tcPr>
          <w:p w:rsidR="00E65C00" w:rsidRPr="000F1882" w:rsidRDefault="00E65C00" w:rsidP="00090857">
            <w:pPr>
              <w:pStyle w:val="TableText"/>
              <w:keepNext/>
              <w:rPr>
                <w:lang w:eastAsia="en-GB"/>
              </w:rPr>
            </w:pPr>
            <w:r w:rsidRPr="000F1882">
              <w:rPr>
                <w:lang w:eastAsia="en-GB"/>
              </w:rPr>
              <w:t>Mixed waste (national average)</w:t>
            </w:r>
            <w:r w:rsidRPr="009C707C">
              <w:rPr>
                <w:rStyle w:val="FootnoteReference"/>
              </w:rPr>
              <w:footnoteReference w:id="25"/>
            </w:r>
          </w:p>
        </w:tc>
        <w:tc>
          <w:tcPr>
            <w:tcW w:w="549" w:type="dxa"/>
            <w:shd w:val="clear" w:color="auto" w:fill="auto"/>
          </w:tcPr>
          <w:p w:rsidR="00E65C00" w:rsidRPr="000F1882" w:rsidRDefault="00E65C00" w:rsidP="00090857">
            <w:pPr>
              <w:pStyle w:val="TableText"/>
              <w:keepNext/>
              <w:rPr>
                <w:lang w:eastAsia="en-GB"/>
              </w:rPr>
            </w:pPr>
            <w:r w:rsidRPr="000F1882">
              <w:rPr>
                <w:lang w:eastAsia="en-GB"/>
              </w:rPr>
              <w:t>kg</w:t>
            </w:r>
          </w:p>
        </w:tc>
        <w:tc>
          <w:tcPr>
            <w:tcW w:w="1502" w:type="dxa"/>
            <w:shd w:val="clear" w:color="auto" w:fill="auto"/>
            <w:noWrap/>
            <w:vAlign w:val="bottom"/>
          </w:tcPr>
          <w:p w:rsidR="00E65C00" w:rsidRPr="00F31B71" w:rsidRDefault="00E65C00" w:rsidP="00090857">
            <w:pPr>
              <w:pStyle w:val="TableText"/>
              <w:keepNext/>
              <w:jc w:val="right"/>
              <w:rPr>
                <w:rFonts w:cs="Arial"/>
                <w:szCs w:val="16"/>
              </w:rPr>
            </w:pPr>
            <w:r w:rsidRPr="00285D6C">
              <w:rPr>
                <w:rFonts w:cs="Arial"/>
                <w:szCs w:val="16"/>
              </w:rPr>
              <w:t>1.13</w:t>
            </w:r>
          </w:p>
        </w:tc>
        <w:tc>
          <w:tcPr>
            <w:tcW w:w="4480" w:type="dxa"/>
            <w:shd w:val="clear" w:color="auto" w:fill="auto"/>
          </w:tcPr>
          <w:p w:rsidR="00E65C00" w:rsidRPr="00CB3567" w:rsidRDefault="00E65C00" w:rsidP="00090857">
            <w:pPr>
              <w:pStyle w:val="TableText"/>
              <w:keepNext/>
              <w:jc w:val="right"/>
              <w:rPr>
                <w:rFonts w:cs="Arial"/>
                <w:szCs w:val="16"/>
              </w:rPr>
            </w:pPr>
            <w:r>
              <w:rPr>
                <w:rFonts w:cs="Arial"/>
                <w:szCs w:val="16"/>
              </w:rPr>
              <w:t>0.05</w:t>
            </w:r>
            <w:r w:rsidRPr="00CB3567">
              <w:rPr>
                <w:rFonts w:cs="Arial"/>
                <w:szCs w:val="16"/>
              </w:rPr>
              <w:t xml:space="preserve"> * (1-0.1) * 2</w:t>
            </w:r>
            <w:r w:rsidR="00900809">
              <w:rPr>
                <w:rFonts w:cs="Arial"/>
                <w:szCs w:val="16"/>
              </w:rPr>
              <w:t>5</w:t>
            </w:r>
          </w:p>
        </w:tc>
      </w:tr>
      <w:tr w:rsidR="00E65C00" w:rsidRPr="0040044B" w:rsidTr="00285D6C">
        <w:trPr>
          <w:cantSplit/>
        </w:trPr>
        <w:tc>
          <w:tcPr>
            <w:tcW w:w="1974" w:type="dxa"/>
            <w:shd w:val="clear" w:color="auto" w:fill="auto"/>
          </w:tcPr>
          <w:p w:rsidR="00E65C00" w:rsidRPr="000F1882" w:rsidRDefault="00E65C00" w:rsidP="00090857">
            <w:pPr>
              <w:pStyle w:val="TableText"/>
              <w:keepNext/>
              <w:rPr>
                <w:lang w:eastAsia="en-GB"/>
              </w:rPr>
            </w:pPr>
            <w:r w:rsidRPr="000F1882">
              <w:rPr>
                <w:lang w:eastAsia="en-GB"/>
              </w:rPr>
              <w:t>Office waste</w:t>
            </w:r>
          </w:p>
        </w:tc>
        <w:tc>
          <w:tcPr>
            <w:tcW w:w="549" w:type="dxa"/>
            <w:shd w:val="clear" w:color="auto" w:fill="auto"/>
          </w:tcPr>
          <w:p w:rsidR="00E65C00" w:rsidRPr="000F1882" w:rsidRDefault="00E65C00" w:rsidP="00090857">
            <w:pPr>
              <w:pStyle w:val="TableText"/>
              <w:keepNext/>
              <w:rPr>
                <w:lang w:eastAsia="en-GB"/>
              </w:rPr>
            </w:pPr>
            <w:r w:rsidRPr="000F1882">
              <w:rPr>
                <w:lang w:eastAsia="en-GB"/>
              </w:rPr>
              <w:t>kg</w:t>
            </w:r>
          </w:p>
        </w:tc>
        <w:tc>
          <w:tcPr>
            <w:tcW w:w="1502" w:type="dxa"/>
            <w:shd w:val="clear" w:color="auto" w:fill="auto"/>
            <w:noWrap/>
            <w:vAlign w:val="bottom"/>
          </w:tcPr>
          <w:p w:rsidR="00E65C00" w:rsidRPr="00F31B71" w:rsidRDefault="00E65C00" w:rsidP="00090857">
            <w:pPr>
              <w:pStyle w:val="TableText"/>
              <w:keepNext/>
              <w:jc w:val="right"/>
              <w:rPr>
                <w:rFonts w:cs="Arial"/>
                <w:szCs w:val="16"/>
              </w:rPr>
            </w:pPr>
            <w:r w:rsidRPr="00285D6C">
              <w:rPr>
                <w:rFonts w:cs="Arial"/>
                <w:szCs w:val="16"/>
              </w:rPr>
              <w:t>1.84</w:t>
            </w:r>
          </w:p>
        </w:tc>
        <w:tc>
          <w:tcPr>
            <w:tcW w:w="4480" w:type="dxa"/>
            <w:shd w:val="clear" w:color="auto" w:fill="auto"/>
          </w:tcPr>
          <w:p w:rsidR="00E65C00" w:rsidRPr="00CB3567" w:rsidRDefault="00E65C00" w:rsidP="00090857">
            <w:pPr>
              <w:pStyle w:val="TableText"/>
              <w:keepNext/>
              <w:jc w:val="right"/>
              <w:rPr>
                <w:rFonts w:cs="Arial"/>
                <w:szCs w:val="16"/>
              </w:rPr>
            </w:pPr>
            <w:r w:rsidRPr="00CB3567">
              <w:rPr>
                <w:rFonts w:cs="Arial"/>
                <w:szCs w:val="16"/>
              </w:rPr>
              <w:t>((0.536 * 0.4) + (0.208 * 0.15) + (0 * 0.3)) * 0.5 * 0.5 * 16/12) *     (1-0.1) * 2</w:t>
            </w:r>
            <w:r w:rsidR="00E44A64">
              <w:rPr>
                <w:rFonts w:cs="Arial"/>
                <w:szCs w:val="16"/>
              </w:rPr>
              <w:t>5</w:t>
            </w:r>
          </w:p>
        </w:tc>
      </w:tr>
      <w:tr w:rsidR="00E65C00" w:rsidRPr="000F1882" w:rsidTr="00A56226">
        <w:trPr>
          <w:cantSplit/>
        </w:trPr>
        <w:tc>
          <w:tcPr>
            <w:tcW w:w="8505" w:type="dxa"/>
            <w:gridSpan w:val="4"/>
            <w:shd w:val="clear" w:color="auto" w:fill="FFFFFF"/>
          </w:tcPr>
          <w:p w:rsidR="00E65C00" w:rsidRPr="009C707C" w:rsidRDefault="00E65C00" w:rsidP="00090857">
            <w:pPr>
              <w:pStyle w:val="TableText"/>
              <w:keepNext/>
              <w:rPr>
                <w:b/>
                <w:lang w:eastAsia="en-GB"/>
              </w:rPr>
            </w:pPr>
            <w:r w:rsidRPr="009C707C">
              <w:rPr>
                <w:b/>
                <w:lang w:eastAsia="en-GB"/>
              </w:rPr>
              <w:t>Landfilled waste – default values (with landfill gas recovery)</w:t>
            </w:r>
          </w:p>
        </w:tc>
      </w:tr>
      <w:tr w:rsidR="00F31B71" w:rsidRPr="0040044B" w:rsidTr="00285D6C">
        <w:trPr>
          <w:cantSplit/>
        </w:trPr>
        <w:tc>
          <w:tcPr>
            <w:tcW w:w="1974" w:type="dxa"/>
            <w:shd w:val="clear" w:color="auto" w:fill="auto"/>
          </w:tcPr>
          <w:p w:rsidR="00F31B71" w:rsidRPr="000F1882" w:rsidRDefault="00F31B71" w:rsidP="00090857">
            <w:pPr>
              <w:pStyle w:val="TableText"/>
              <w:rPr>
                <w:lang w:eastAsia="en-GB"/>
              </w:rPr>
            </w:pPr>
            <w:r w:rsidRPr="000F1882">
              <w:rPr>
                <w:lang w:eastAsia="en-GB"/>
              </w:rPr>
              <w:t>Mixed waste (national average)</w:t>
            </w:r>
          </w:p>
        </w:tc>
        <w:tc>
          <w:tcPr>
            <w:tcW w:w="549" w:type="dxa"/>
            <w:shd w:val="clear" w:color="auto" w:fill="auto"/>
          </w:tcPr>
          <w:p w:rsidR="00F31B71" w:rsidRPr="000F1882" w:rsidRDefault="00F31B71" w:rsidP="00090857">
            <w:pPr>
              <w:pStyle w:val="TableText"/>
              <w:rPr>
                <w:lang w:eastAsia="en-GB"/>
              </w:rPr>
            </w:pPr>
            <w:r w:rsidRPr="000F1882">
              <w:rPr>
                <w:lang w:eastAsia="en-GB"/>
              </w:rPr>
              <w:t>kg</w:t>
            </w:r>
          </w:p>
        </w:tc>
        <w:tc>
          <w:tcPr>
            <w:tcW w:w="1502" w:type="dxa"/>
            <w:shd w:val="clear" w:color="auto" w:fill="auto"/>
            <w:noWrap/>
            <w:vAlign w:val="bottom"/>
          </w:tcPr>
          <w:p w:rsidR="00F31B71" w:rsidRPr="00900809" w:rsidRDefault="00550456" w:rsidP="00090857">
            <w:pPr>
              <w:pStyle w:val="TableText"/>
              <w:keepNext/>
              <w:jc w:val="right"/>
              <w:rPr>
                <w:rFonts w:cs="Arial"/>
                <w:szCs w:val="16"/>
              </w:rPr>
            </w:pPr>
            <w:r>
              <w:rPr>
                <w:rFonts w:cs="Arial"/>
                <w:szCs w:val="16"/>
              </w:rPr>
              <w:t>0.444</w:t>
            </w:r>
          </w:p>
        </w:tc>
        <w:tc>
          <w:tcPr>
            <w:tcW w:w="4480" w:type="dxa"/>
            <w:shd w:val="clear" w:color="auto" w:fill="auto"/>
          </w:tcPr>
          <w:p w:rsidR="00F31B71" w:rsidRPr="00CB3567" w:rsidRDefault="00F31B71" w:rsidP="00090857">
            <w:pPr>
              <w:pStyle w:val="TableText"/>
              <w:keepNext/>
              <w:jc w:val="right"/>
              <w:rPr>
                <w:rFonts w:cs="Arial"/>
                <w:szCs w:val="16"/>
              </w:rPr>
            </w:pPr>
            <w:r>
              <w:rPr>
                <w:rFonts w:cs="Arial"/>
                <w:szCs w:val="16"/>
              </w:rPr>
              <w:t>0.05 * (1-</w:t>
            </w:r>
            <w:r w:rsidR="00241D87">
              <w:rPr>
                <w:rFonts w:cs="Arial"/>
                <w:szCs w:val="16"/>
              </w:rPr>
              <w:t>0.606</w:t>
            </w:r>
            <w:r w:rsidRPr="00CB3567">
              <w:rPr>
                <w:rFonts w:cs="Arial"/>
                <w:szCs w:val="16"/>
              </w:rPr>
              <w:t>) * (1-0.1) * 2</w:t>
            </w:r>
            <w:r w:rsidR="00E44A64">
              <w:rPr>
                <w:rFonts w:cs="Arial"/>
                <w:szCs w:val="16"/>
              </w:rPr>
              <w:t>5</w:t>
            </w:r>
          </w:p>
        </w:tc>
      </w:tr>
      <w:tr w:rsidR="00F31B71" w:rsidRPr="0040044B" w:rsidTr="00285D6C">
        <w:trPr>
          <w:cantSplit/>
        </w:trPr>
        <w:tc>
          <w:tcPr>
            <w:tcW w:w="1974" w:type="dxa"/>
            <w:shd w:val="clear" w:color="auto" w:fill="auto"/>
          </w:tcPr>
          <w:p w:rsidR="00F31B71" w:rsidRPr="000F1882" w:rsidRDefault="00F31B71" w:rsidP="00090857">
            <w:pPr>
              <w:pStyle w:val="TableText"/>
              <w:rPr>
                <w:lang w:eastAsia="en-GB"/>
              </w:rPr>
            </w:pPr>
            <w:r w:rsidRPr="000F1882">
              <w:rPr>
                <w:lang w:eastAsia="en-GB"/>
              </w:rPr>
              <w:t>Office waste</w:t>
            </w:r>
            <w:r w:rsidRPr="009C707C">
              <w:rPr>
                <w:rStyle w:val="FootnoteReference"/>
              </w:rPr>
              <w:footnoteReference w:id="26"/>
            </w:r>
          </w:p>
        </w:tc>
        <w:tc>
          <w:tcPr>
            <w:tcW w:w="549" w:type="dxa"/>
            <w:shd w:val="clear" w:color="auto" w:fill="auto"/>
          </w:tcPr>
          <w:p w:rsidR="00F31B71" w:rsidRPr="000F1882" w:rsidRDefault="00F31B71" w:rsidP="00090857">
            <w:pPr>
              <w:pStyle w:val="TableText"/>
              <w:rPr>
                <w:lang w:eastAsia="en-GB"/>
              </w:rPr>
            </w:pPr>
            <w:r w:rsidRPr="000F1882">
              <w:rPr>
                <w:lang w:eastAsia="en-GB"/>
              </w:rPr>
              <w:t>kg</w:t>
            </w:r>
          </w:p>
        </w:tc>
        <w:tc>
          <w:tcPr>
            <w:tcW w:w="1502" w:type="dxa"/>
            <w:shd w:val="clear" w:color="auto" w:fill="auto"/>
            <w:noWrap/>
            <w:vAlign w:val="bottom"/>
          </w:tcPr>
          <w:p w:rsidR="00F31B71" w:rsidRPr="00900809" w:rsidRDefault="00550456" w:rsidP="00090857">
            <w:pPr>
              <w:pStyle w:val="TableText"/>
              <w:keepNext/>
              <w:jc w:val="right"/>
              <w:rPr>
                <w:rFonts w:cs="Arial"/>
                <w:szCs w:val="16"/>
              </w:rPr>
            </w:pPr>
            <w:r>
              <w:rPr>
                <w:rFonts w:cs="Arial"/>
                <w:szCs w:val="16"/>
              </w:rPr>
              <w:t>0.726</w:t>
            </w:r>
          </w:p>
        </w:tc>
        <w:tc>
          <w:tcPr>
            <w:tcW w:w="4480" w:type="dxa"/>
            <w:shd w:val="clear" w:color="auto" w:fill="auto"/>
          </w:tcPr>
          <w:p w:rsidR="00F31B71" w:rsidRPr="00CB3567" w:rsidRDefault="00F31B71" w:rsidP="00090857">
            <w:pPr>
              <w:pStyle w:val="TableText"/>
              <w:keepNext/>
              <w:jc w:val="right"/>
              <w:rPr>
                <w:rFonts w:cs="Arial"/>
                <w:szCs w:val="16"/>
              </w:rPr>
            </w:pPr>
            <w:r w:rsidRPr="00CB3567">
              <w:rPr>
                <w:rFonts w:cs="Arial"/>
                <w:szCs w:val="16"/>
              </w:rPr>
              <w:t>((0.536 * 0.4) + (0.208 * 0.15) + (0 * 0.3)) * 0.5 * 0.5 * (16/12) *    (1-</w:t>
            </w:r>
            <w:r w:rsidR="00241D87">
              <w:rPr>
                <w:rFonts w:cs="Arial"/>
                <w:szCs w:val="16"/>
              </w:rPr>
              <w:t>0.606</w:t>
            </w:r>
            <w:r w:rsidRPr="00CB3567">
              <w:rPr>
                <w:rFonts w:cs="Arial"/>
                <w:szCs w:val="16"/>
              </w:rPr>
              <w:t>) * (1-0.1) * 2</w:t>
            </w:r>
            <w:r w:rsidR="00E44A64">
              <w:rPr>
                <w:rFonts w:cs="Arial"/>
                <w:szCs w:val="16"/>
              </w:rPr>
              <w:t>5</w:t>
            </w:r>
          </w:p>
        </w:tc>
      </w:tr>
    </w:tbl>
    <w:p w:rsidR="00CB3567" w:rsidRDefault="00CB3567" w:rsidP="00CB3567"/>
    <w:p w:rsidR="00CB3567" w:rsidRPr="00CB3567" w:rsidRDefault="00CB3567" w:rsidP="00CB3567"/>
    <w:p w:rsidR="004A618E" w:rsidRDefault="004A618E" w:rsidP="00E511F3"/>
    <w:p w:rsidR="00784EDB" w:rsidRDefault="00784EDB" w:rsidP="00E511F3"/>
    <w:p w:rsidR="00784EDB" w:rsidRDefault="00784EDB" w:rsidP="00E511F3"/>
    <w:p w:rsidR="00784EDB" w:rsidRDefault="00784EDB" w:rsidP="00E511F3"/>
    <w:p w:rsidR="00784EDB" w:rsidRDefault="00784EDB" w:rsidP="00E511F3"/>
    <w:p w:rsidR="00784EDB" w:rsidRDefault="00784EDB" w:rsidP="00E511F3"/>
    <w:p w:rsidR="00784EDB" w:rsidRDefault="00784EDB" w:rsidP="00E511F3"/>
    <w:p w:rsidR="00784EDB" w:rsidRDefault="00784EDB" w:rsidP="00E511F3"/>
    <w:p w:rsidR="00784EDB" w:rsidRDefault="00784EDB" w:rsidP="00E511F3"/>
    <w:p w:rsidR="00784EDB" w:rsidRDefault="00784EDB" w:rsidP="00E511F3"/>
    <w:p w:rsidR="00784EDB" w:rsidRDefault="00784EDB" w:rsidP="00E511F3"/>
    <w:p w:rsidR="00784EDB" w:rsidRDefault="00784EDB" w:rsidP="00E511F3"/>
    <w:p w:rsidR="00784EDB" w:rsidRDefault="00784EDB" w:rsidP="00E511F3"/>
    <w:p w:rsidR="00784EDB" w:rsidRDefault="00784EDB" w:rsidP="00E511F3"/>
    <w:p w:rsidR="00784EDB" w:rsidRDefault="00784EDB" w:rsidP="00E511F3"/>
    <w:p w:rsidR="00B975C8" w:rsidRDefault="00B975C8" w:rsidP="00784EDB"/>
    <w:p w:rsidR="00B975C8" w:rsidRDefault="00B975C8" w:rsidP="00784EDB"/>
    <w:p w:rsidR="00C669C3" w:rsidRDefault="00C669C3" w:rsidP="00784EDB"/>
    <w:p w:rsidR="00C669C3" w:rsidRDefault="00C669C3" w:rsidP="00784EDB"/>
    <w:p w:rsidR="00C669C3" w:rsidRDefault="00C669C3" w:rsidP="00784EDB"/>
    <w:p w:rsidR="004F1E88" w:rsidRDefault="00C669C3" w:rsidP="00047CF3">
      <w:pPr>
        <w:pStyle w:val="Heading1"/>
        <w:ind w:left="0" w:firstLine="0"/>
      </w:pPr>
      <w:bookmarkStart w:id="257" w:name="_Toc469577187"/>
      <w:r>
        <w:lastRenderedPageBreak/>
        <w:t>Appendix D: Landfills with gas collection systems</w:t>
      </w:r>
      <w:bookmarkEnd w:id="257"/>
    </w:p>
    <w:p w:rsidR="004117B6" w:rsidRPr="00387D69" w:rsidRDefault="004117B6" w:rsidP="00387D69">
      <w:pPr>
        <w:pStyle w:val="Table"/>
      </w:pPr>
      <w:bookmarkStart w:id="258" w:name="_Toc469577154"/>
      <w:r w:rsidRPr="00387D69">
        <w:t>Table 16</w:t>
      </w:r>
      <w:r w:rsidR="00181D47">
        <w:t>:</w:t>
      </w:r>
      <w:r w:rsidR="004E4249">
        <w:tab/>
      </w:r>
      <w:r w:rsidR="00181D47">
        <w:t xml:space="preserve"> L</w:t>
      </w:r>
      <w:r w:rsidRPr="00387D69">
        <w:t>andfills with gas collection systems</w:t>
      </w:r>
      <w:bookmarkEnd w:id="258"/>
    </w:p>
    <w:tbl>
      <w:tblPr>
        <w:tblpPr w:leftFromText="180" w:rightFromText="180" w:vertAnchor="text" w:horzAnchor="margin" w:tblpY="76"/>
        <w:tblW w:w="4365" w:type="pct"/>
        <w:tblLayout w:type="fixed"/>
        <w:tblCellMar>
          <w:top w:w="60" w:type="dxa"/>
          <w:left w:w="60" w:type="dxa"/>
          <w:bottom w:w="60" w:type="dxa"/>
          <w:right w:w="60" w:type="dxa"/>
        </w:tblCellMar>
        <w:tblLook w:val="04A0" w:firstRow="1" w:lastRow="0" w:firstColumn="1" w:lastColumn="0" w:noHBand="0" w:noVBand="1"/>
      </w:tblPr>
      <w:tblGrid>
        <w:gridCol w:w="1964"/>
        <w:gridCol w:w="1557"/>
        <w:gridCol w:w="2128"/>
        <w:gridCol w:w="1985"/>
      </w:tblGrid>
      <w:tr w:rsidR="00AC39EF" w:rsidRPr="00837BCD" w:rsidTr="002D128C">
        <w:trPr>
          <w:cantSplit/>
          <w:tblHeader/>
        </w:trPr>
        <w:tc>
          <w:tcPr>
            <w:tcW w:w="1286" w:type="pct"/>
            <w:tcBorders>
              <w:top w:val="single" w:sz="2" w:space="0" w:color="auto"/>
              <w:left w:val="single" w:sz="2" w:space="0" w:color="auto"/>
              <w:bottom w:val="single" w:sz="6" w:space="0" w:color="808080"/>
              <w:right w:val="single" w:sz="2" w:space="0" w:color="auto"/>
            </w:tcBorders>
            <w:shd w:val="clear" w:color="auto" w:fill="D9D9D9" w:themeFill="background1" w:themeFillShade="D9"/>
            <w:tcMar>
              <w:top w:w="120" w:type="dxa"/>
              <w:left w:w="120" w:type="dxa"/>
              <w:bottom w:w="120" w:type="dxa"/>
              <w:right w:w="120" w:type="dxa"/>
            </w:tcMar>
          </w:tcPr>
          <w:p w:rsidR="00AC39EF" w:rsidRPr="00A821B8" w:rsidRDefault="00AC39EF" w:rsidP="0019107A">
            <w:pPr>
              <w:jc w:val="left"/>
              <w:rPr>
                <w:rFonts w:ascii="Arial" w:hAnsi="Arial" w:cs="Arial"/>
                <w:b/>
                <w:sz w:val="19"/>
                <w:szCs w:val="19"/>
                <w:lang w:eastAsia="en-NZ"/>
              </w:rPr>
            </w:pPr>
            <w:r w:rsidRPr="00A821B8">
              <w:rPr>
                <w:rFonts w:ascii="Arial" w:hAnsi="Arial" w:cs="Arial"/>
                <w:b/>
                <w:sz w:val="19"/>
                <w:szCs w:val="19"/>
                <w:lang w:eastAsia="en-NZ"/>
              </w:rPr>
              <w:t>Site name</w:t>
            </w:r>
          </w:p>
        </w:tc>
        <w:tc>
          <w:tcPr>
            <w:tcW w:w="1020" w:type="pct"/>
            <w:tcBorders>
              <w:top w:val="single" w:sz="2" w:space="0" w:color="auto"/>
              <w:left w:val="single" w:sz="2" w:space="0" w:color="auto"/>
              <w:bottom w:val="single" w:sz="6" w:space="0" w:color="808080"/>
              <w:right w:val="single" w:sz="2" w:space="0" w:color="auto"/>
            </w:tcBorders>
            <w:shd w:val="clear" w:color="auto" w:fill="D9D9D9" w:themeFill="background1" w:themeFillShade="D9"/>
            <w:tcMar>
              <w:top w:w="120" w:type="dxa"/>
              <w:left w:w="120" w:type="dxa"/>
              <w:bottom w:w="120" w:type="dxa"/>
              <w:right w:w="120" w:type="dxa"/>
            </w:tcMar>
          </w:tcPr>
          <w:p w:rsidR="00AC39EF" w:rsidRPr="00A821B8" w:rsidRDefault="00AC39EF" w:rsidP="0019107A">
            <w:pPr>
              <w:jc w:val="left"/>
              <w:rPr>
                <w:rFonts w:ascii="Arial" w:hAnsi="Arial" w:cs="Arial"/>
                <w:b/>
                <w:sz w:val="19"/>
                <w:szCs w:val="19"/>
                <w:lang w:eastAsia="en-NZ"/>
              </w:rPr>
            </w:pPr>
            <w:r w:rsidRPr="00A821B8">
              <w:rPr>
                <w:rFonts w:ascii="Arial" w:hAnsi="Arial" w:cs="Arial"/>
                <w:b/>
                <w:sz w:val="19"/>
                <w:szCs w:val="19"/>
                <w:lang w:eastAsia="en-NZ"/>
              </w:rPr>
              <w:t>Location</w:t>
            </w:r>
          </w:p>
        </w:tc>
        <w:tc>
          <w:tcPr>
            <w:tcW w:w="1394" w:type="pct"/>
            <w:tcBorders>
              <w:top w:val="single" w:sz="2" w:space="0" w:color="auto"/>
              <w:left w:val="single" w:sz="2" w:space="0" w:color="auto"/>
              <w:bottom w:val="single" w:sz="6" w:space="0" w:color="808080"/>
              <w:right w:val="single" w:sz="2" w:space="0" w:color="auto"/>
            </w:tcBorders>
            <w:shd w:val="clear" w:color="auto" w:fill="D9D9D9" w:themeFill="background1" w:themeFillShade="D9"/>
            <w:tcMar>
              <w:top w:w="120" w:type="dxa"/>
              <w:left w:w="120" w:type="dxa"/>
              <w:bottom w:w="120" w:type="dxa"/>
              <w:right w:w="120" w:type="dxa"/>
            </w:tcMar>
          </w:tcPr>
          <w:p w:rsidR="00AC39EF" w:rsidRPr="00A821B8" w:rsidRDefault="00AC39EF" w:rsidP="0019107A">
            <w:pPr>
              <w:jc w:val="left"/>
              <w:rPr>
                <w:rFonts w:ascii="Arial" w:hAnsi="Arial" w:cs="Arial"/>
                <w:b/>
                <w:sz w:val="19"/>
                <w:szCs w:val="19"/>
                <w:lang w:eastAsia="en-NZ"/>
              </w:rPr>
            </w:pPr>
            <w:r w:rsidRPr="00A821B8">
              <w:rPr>
                <w:rFonts w:ascii="Arial" w:hAnsi="Arial" w:cs="Arial"/>
                <w:b/>
                <w:sz w:val="19"/>
                <w:szCs w:val="19"/>
                <w:lang w:eastAsia="en-NZ"/>
              </w:rPr>
              <w:t>Gas collection and flare</w:t>
            </w:r>
          </w:p>
        </w:tc>
        <w:tc>
          <w:tcPr>
            <w:tcW w:w="1300" w:type="pct"/>
            <w:tcBorders>
              <w:top w:val="single" w:sz="2" w:space="0" w:color="auto"/>
              <w:left w:val="single" w:sz="2" w:space="0" w:color="auto"/>
              <w:bottom w:val="single" w:sz="6" w:space="0" w:color="808080"/>
              <w:right w:val="single" w:sz="2" w:space="0" w:color="auto"/>
            </w:tcBorders>
            <w:shd w:val="clear" w:color="auto" w:fill="D9D9D9" w:themeFill="background1" w:themeFillShade="D9"/>
            <w:tcMar>
              <w:top w:w="120" w:type="dxa"/>
              <w:left w:w="120" w:type="dxa"/>
              <w:bottom w:w="120" w:type="dxa"/>
              <w:right w:w="120" w:type="dxa"/>
            </w:tcMar>
          </w:tcPr>
          <w:p w:rsidR="00AC39EF" w:rsidRPr="00A821B8" w:rsidRDefault="00AC39EF" w:rsidP="0019107A">
            <w:pPr>
              <w:jc w:val="left"/>
              <w:rPr>
                <w:rFonts w:ascii="Arial" w:hAnsi="Arial" w:cs="Arial"/>
                <w:b/>
                <w:sz w:val="19"/>
                <w:szCs w:val="19"/>
                <w:lang w:eastAsia="en-NZ"/>
              </w:rPr>
            </w:pPr>
            <w:r w:rsidRPr="00A821B8">
              <w:rPr>
                <w:rFonts w:ascii="Arial" w:hAnsi="Arial" w:cs="Arial"/>
                <w:b/>
                <w:sz w:val="19"/>
                <w:szCs w:val="19"/>
                <w:lang w:eastAsia="en-NZ"/>
              </w:rPr>
              <w:t>Gas collection and Generate</w:t>
            </w:r>
          </w:p>
        </w:tc>
      </w:tr>
      <w:tr w:rsidR="00AC39EF" w:rsidRPr="00AC39EF" w:rsidTr="002D128C">
        <w:trPr>
          <w:cantSplit/>
          <w:tblHeader/>
        </w:trPr>
        <w:tc>
          <w:tcPr>
            <w:tcW w:w="1286" w:type="pct"/>
            <w:tcBorders>
              <w:top w:val="single" w:sz="2" w:space="0" w:color="auto"/>
              <w:left w:val="single" w:sz="2" w:space="0" w:color="auto"/>
              <w:bottom w:val="single" w:sz="6" w:space="0" w:color="808080"/>
              <w:right w:val="single" w:sz="2" w:space="0" w:color="auto"/>
            </w:tcBorders>
            <w:tcMar>
              <w:top w:w="120" w:type="dxa"/>
              <w:left w:w="120" w:type="dxa"/>
              <w:bottom w:w="120" w:type="dxa"/>
              <w:right w:w="120" w:type="dxa"/>
            </w:tcMar>
          </w:tcPr>
          <w:p w:rsidR="00AC39EF" w:rsidRPr="00047CF3" w:rsidRDefault="00CC0B85" w:rsidP="0019107A">
            <w:pPr>
              <w:jc w:val="left"/>
              <w:rPr>
                <w:rFonts w:ascii="Arial" w:hAnsi="Arial" w:cs="Arial"/>
                <w:sz w:val="19"/>
                <w:szCs w:val="19"/>
                <w:lang w:eastAsia="en-NZ"/>
              </w:rPr>
            </w:pPr>
            <w:hyperlink r:id="rId30" w:history="1">
              <w:r w:rsidR="00AC39EF" w:rsidRPr="00047CF3">
                <w:rPr>
                  <w:rFonts w:ascii="Arial" w:hAnsi="Arial" w:cs="Arial"/>
                  <w:sz w:val="19"/>
                  <w:szCs w:val="19"/>
                  <w:lang w:eastAsia="en-NZ"/>
                </w:rPr>
                <w:t>Eves Valley landfill</w:t>
              </w:r>
            </w:hyperlink>
          </w:p>
        </w:tc>
        <w:tc>
          <w:tcPr>
            <w:tcW w:w="1020" w:type="pct"/>
            <w:tcBorders>
              <w:top w:val="single" w:sz="2" w:space="0" w:color="auto"/>
              <w:left w:val="single" w:sz="2" w:space="0" w:color="auto"/>
              <w:bottom w:val="single" w:sz="6" w:space="0" w:color="808080"/>
              <w:right w:val="single" w:sz="2" w:space="0" w:color="auto"/>
            </w:tcBorders>
            <w:tcMar>
              <w:top w:w="120" w:type="dxa"/>
              <w:left w:w="120" w:type="dxa"/>
              <w:bottom w:w="120" w:type="dxa"/>
              <w:right w:w="120" w:type="dxa"/>
            </w:tcMar>
          </w:tcPr>
          <w:p w:rsidR="00AC39EF" w:rsidRPr="00047CF3" w:rsidRDefault="00AC39EF" w:rsidP="0019107A">
            <w:pPr>
              <w:jc w:val="left"/>
              <w:rPr>
                <w:rFonts w:ascii="Arial" w:hAnsi="Arial" w:cs="Arial"/>
                <w:sz w:val="19"/>
                <w:szCs w:val="19"/>
                <w:lang w:eastAsia="en-NZ"/>
              </w:rPr>
            </w:pPr>
            <w:r w:rsidRPr="00047CF3">
              <w:rPr>
                <w:rFonts w:ascii="Arial" w:hAnsi="Arial" w:cs="Arial"/>
                <w:sz w:val="19"/>
                <w:szCs w:val="19"/>
                <w:lang w:eastAsia="en-NZ"/>
              </w:rPr>
              <w:t>Waimea West, Nelson</w:t>
            </w:r>
          </w:p>
        </w:tc>
        <w:tc>
          <w:tcPr>
            <w:tcW w:w="1394" w:type="pct"/>
            <w:tcBorders>
              <w:top w:val="single" w:sz="2" w:space="0" w:color="auto"/>
              <w:left w:val="single" w:sz="2" w:space="0" w:color="auto"/>
              <w:bottom w:val="single" w:sz="6" w:space="0" w:color="808080"/>
              <w:right w:val="single" w:sz="2" w:space="0" w:color="auto"/>
            </w:tcBorders>
            <w:tcMar>
              <w:top w:w="120" w:type="dxa"/>
              <w:left w:w="120" w:type="dxa"/>
              <w:bottom w:w="120" w:type="dxa"/>
              <w:right w:w="120" w:type="dxa"/>
            </w:tcMar>
          </w:tcPr>
          <w:p w:rsidR="00AC39EF" w:rsidRPr="00047CF3" w:rsidRDefault="00AC39EF" w:rsidP="0019107A">
            <w:pPr>
              <w:jc w:val="left"/>
              <w:rPr>
                <w:rFonts w:ascii="Arial" w:hAnsi="Arial" w:cs="Arial"/>
                <w:sz w:val="19"/>
                <w:szCs w:val="19"/>
                <w:lang w:eastAsia="en-NZ"/>
              </w:rPr>
            </w:pPr>
            <w:r w:rsidRPr="00047CF3">
              <w:rPr>
                <w:rFonts w:ascii="Arial" w:hAnsi="Arial" w:cs="Arial"/>
                <w:sz w:val="19"/>
                <w:szCs w:val="19"/>
                <w:lang w:eastAsia="en-NZ"/>
              </w:rPr>
              <w:t>No</w:t>
            </w:r>
          </w:p>
        </w:tc>
        <w:tc>
          <w:tcPr>
            <w:tcW w:w="1300" w:type="pct"/>
            <w:tcBorders>
              <w:top w:val="single" w:sz="2" w:space="0" w:color="auto"/>
              <w:left w:val="single" w:sz="2" w:space="0" w:color="auto"/>
              <w:bottom w:val="single" w:sz="6" w:space="0" w:color="808080"/>
              <w:right w:val="single" w:sz="2" w:space="0" w:color="auto"/>
            </w:tcBorders>
            <w:tcMar>
              <w:top w:w="120" w:type="dxa"/>
              <w:left w:w="120" w:type="dxa"/>
              <w:bottom w:w="120" w:type="dxa"/>
              <w:right w:w="120" w:type="dxa"/>
            </w:tcMar>
          </w:tcPr>
          <w:p w:rsidR="00AC39EF" w:rsidRPr="00047CF3" w:rsidRDefault="00AC39EF" w:rsidP="0019107A">
            <w:pPr>
              <w:jc w:val="left"/>
              <w:rPr>
                <w:rFonts w:ascii="Arial" w:hAnsi="Arial" w:cs="Arial"/>
                <w:sz w:val="19"/>
                <w:szCs w:val="19"/>
                <w:lang w:eastAsia="en-NZ"/>
              </w:rPr>
            </w:pPr>
          </w:p>
        </w:tc>
      </w:tr>
      <w:tr w:rsidR="00AC39EF" w:rsidRPr="00AC39EF" w:rsidTr="002D128C">
        <w:trPr>
          <w:cantSplit/>
          <w:tblHeader/>
        </w:trPr>
        <w:tc>
          <w:tcPr>
            <w:tcW w:w="1286" w:type="pct"/>
            <w:tcBorders>
              <w:top w:val="single" w:sz="2" w:space="0" w:color="auto"/>
              <w:left w:val="single" w:sz="2" w:space="0" w:color="auto"/>
              <w:bottom w:val="single" w:sz="6" w:space="0" w:color="808080"/>
              <w:right w:val="single" w:sz="2" w:space="0" w:color="auto"/>
            </w:tcBorders>
            <w:tcMar>
              <w:top w:w="120" w:type="dxa"/>
              <w:left w:w="120" w:type="dxa"/>
              <w:bottom w:w="120" w:type="dxa"/>
              <w:right w:w="120" w:type="dxa"/>
            </w:tcMar>
          </w:tcPr>
          <w:p w:rsidR="00AC39EF" w:rsidRPr="00047CF3" w:rsidRDefault="00CC0B85" w:rsidP="0019107A">
            <w:pPr>
              <w:jc w:val="left"/>
              <w:rPr>
                <w:rFonts w:ascii="Arial" w:hAnsi="Arial" w:cs="Arial"/>
                <w:sz w:val="19"/>
                <w:szCs w:val="19"/>
                <w:lang w:eastAsia="en-NZ"/>
              </w:rPr>
            </w:pPr>
            <w:hyperlink r:id="rId31" w:history="1">
              <w:r w:rsidR="00AC39EF" w:rsidRPr="00047CF3">
                <w:rPr>
                  <w:rFonts w:ascii="Arial" w:hAnsi="Arial" w:cs="Arial"/>
                  <w:sz w:val="19"/>
                  <w:szCs w:val="19"/>
                  <w:lang w:eastAsia="en-NZ"/>
                </w:rPr>
                <w:t>Marlborough Regional Landfill (</w:t>
              </w:r>
              <w:proofErr w:type="spellStart"/>
              <w:r w:rsidR="00AC39EF" w:rsidRPr="00047CF3">
                <w:rPr>
                  <w:rFonts w:ascii="Arial" w:hAnsi="Arial" w:cs="Arial"/>
                  <w:sz w:val="19"/>
                  <w:szCs w:val="19"/>
                  <w:lang w:eastAsia="en-NZ"/>
                </w:rPr>
                <w:t>Bluegums</w:t>
              </w:r>
              <w:proofErr w:type="spellEnd"/>
              <w:r w:rsidR="00AC39EF" w:rsidRPr="00047CF3">
                <w:rPr>
                  <w:rFonts w:ascii="Arial" w:hAnsi="Arial" w:cs="Arial"/>
                  <w:sz w:val="19"/>
                  <w:szCs w:val="19"/>
                  <w:lang w:eastAsia="en-NZ"/>
                </w:rPr>
                <w:t>)</w:t>
              </w:r>
            </w:hyperlink>
          </w:p>
        </w:tc>
        <w:tc>
          <w:tcPr>
            <w:tcW w:w="1020" w:type="pct"/>
            <w:tcBorders>
              <w:top w:val="single" w:sz="2" w:space="0" w:color="auto"/>
              <w:left w:val="single" w:sz="2" w:space="0" w:color="auto"/>
              <w:bottom w:val="single" w:sz="6" w:space="0" w:color="808080"/>
              <w:right w:val="single" w:sz="2" w:space="0" w:color="auto"/>
            </w:tcBorders>
            <w:tcMar>
              <w:top w:w="120" w:type="dxa"/>
              <w:left w:w="120" w:type="dxa"/>
              <w:bottom w:w="120" w:type="dxa"/>
              <w:right w:w="120" w:type="dxa"/>
            </w:tcMar>
          </w:tcPr>
          <w:p w:rsidR="00AC39EF" w:rsidRPr="00047CF3" w:rsidRDefault="00AC39EF" w:rsidP="0019107A">
            <w:pPr>
              <w:jc w:val="left"/>
              <w:rPr>
                <w:rFonts w:ascii="Arial" w:hAnsi="Arial" w:cs="Arial"/>
                <w:sz w:val="19"/>
                <w:szCs w:val="19"/>
                <w:lang w:eastAsia="en-NZ"/>
              </w:rPr>
            </w:pPr>
            <w:r w:rsidRPr="00047CF3">
              <w:rPr>
                <w:rFonts w:ascii="Arial" w:hAnsi="Arial" w:cs="Arial"/>
                <w:sz w:val="19"/>
                <w:szCs w:val="19"/>
                <w:lang w:eastAsia="en-NZ"/>
              </w:rPr>
              <w:t>Blenheim</w:t>
            </w:r>
          </w:p>
        </w:tc>
        <w:tc>
          <w:tcPr>
            <w:tcW w:w="1394" w:type="pct"/>
            <w:tcBorders>
              <w:top w:val="single" w:sz="2" w:space="0" w:color="auto"/>
              <w:left w:val="single" w:sz="2" w:space="0" w:color="auto"/>
              <w:bottom w:val="single" w:sz="6" w:space="0" w:color="808080"/>
              <w:right w:val="single" w:sz="2" w:space="0" w:color="auto"/>
            </w:tcBorders>
            <w:tcMar>
              <w:top w:w="120" w:type="dxa"/>
              <w:left w:w="120" w:type="dxa"/>
              <w:bottom w:w="120" w:type="dxa"/>
              <w:right w:w="120" w:type="dxa"/>
            </w:tcMar>
          </w:tcPr>
          <w:p w:rsidR="00AC39EF" w:rsidRPr="00047CF3" w:rsidRDefault="00AC39EF" w:rsidP="0019107A">
            <w:pPr>
              <w:jc w:val="left"/>
              <w:rPr>
                <w:rFonts w:ascii="Arial" w:hAnsi="Arial" w:cs="Arial"/>
                <w:sz w:val="19"/>
                <w:szCs w:val="19"/>
                <w:lang w:eastAsia="en-NZ"/>
              </w:rPr>
            </w:pPr>
            <w:r w:rsidRPr="00047CF3">
              <w:rPr>
                <w:rFonts w:ascii="Arial" w:hAnsi="Arial" w:cs="Arial"/>
                <w:sz w:val="19"/>
                <w:szCs w:val="19"/>
                <w:lang w:eastAsia="en-NZ"/>
              </w:rPr>
              <w:t>Yes</w:t>
            </w:r>
          </w:p>
        </w:tc>
        <w:tc>
          <w:tcPr>
            <w:tcW w:w="1300" w:type="pct"/>
            <w:tcBorders>
              <w:top w:val="single" w:sz="2" w:space="0" w:color="auto"/>
              <w:left w:val="single" w:sz="2" w:space="0" w:color="auto"/>
              <w:bottom w:val="single" w:sz="6" w:space="0" w:color="808080"/>
              <w:right w:val="single" w:sz="2" w:space="0" w:color="auto"/>
            </w:tcBorders>
            <w:tcMar>
              <w:top w:w="120" w:type="dxa"/>
              <w:left w:w="120" w:type="dxa"/>
              <w:bottom w:w="120" w:type="dxa"/>
              <w:right w:w="120" w:type="dxa"/>
            </w:tcMar>
          </w:tcPr>
          <w:p w:rsidR="00AC39EF" w:rsidRPr="00047CF3" w:rsidRDefault="00AC39EF" w:rsidP="0019107A">
            <w:pPr>
              <w:jc w:val="left"/>
              <w:rPr>
                <w:rFonts w:ascii="Arial" w:hAnsi="Arial" w:cs="Arial"/>
                <w:sz w:val="19"/>
                <w:szCs w:val="19"/>
                <w:lang w:eastAsia="en-NZ"/>
              </w:rPr>
            </w:pPr>
          </w:p>
        </w:tc>
      </w:tr>
      <w:tr w:rsidR="00AC39EF" w:rsidRPr="00AC39EF" w:rsidTr="002D128C">
        <w:trPr>
          <w:cantSplit/>
          <w:tblHeader/>
        </w:trPr>
        <w:tc>
          <w:tcPr>
            <w:tcW w:w="1286" w:type="pct"/>
            <w:tcBorders>
              <w:top w:val="single" w:sz="2" w:space="0" w:color="auto"/>
              <w:left w:val="single" w:sz="2" w:space="0" w:color="auto"/>
              <w:bottom w:val="single" w:sz="6" w:space="0" w:color="808080"/>
              <w:right w:val="single" w:sz="2" w:space="0" w:color="auto"/>
            </w:tcBorders>
            <w:tcMar>
              <w:top w:w="120" w:type="dxa"/>
              <w:left w:w="120" w:type="dxa"/>
              <w:bottom w:w="120" w:type="dxa"/>
              <w:right w:w="120" w:type="dxa"/>
            </w:tcMar>
          </w:tcPr>
          <w:p w:rsidR="00AC39EF" w:rsidRPr="00047CF3" w:rsidRDefault="00CC0B85" w:rsidP="0019107A">
            <w:pPr>
              <w:jc w:val="left"/>
              <w:rPr>
                <w:rFonts w:ascii="Arial" w:hAnsi="Arial" w:cs="Arial"/>
                <w:sz w:val="19"/>
                <w:szCs w:val="19"/>
                <w:lang w:eastAsia="en-NZ"/>
              </w:rPr>
            </w:pPr>
            <w:hyperlink r:id="rId32" w:history="1">
              <w:r w:rsidR="00AC39EF" w:rsidRPr="00047CF3">
                <w:rPr>
                  <w:rFonts w:ascii="Arial" w:hAnsi="Arial" w:cs="Arial"/>
                  <w:sz w:val="19"/>
                  <w:szCs w:val="19"/>
                  <w:lang w:eastAsia="en-NZ"/>
                </w:rPr>
                <w:t>York Valley Landfill</w:t>
              </w:r>
            </w:hyperlink>
          </w:p>
        </w:tc>
        <w:tc>
          <w:tcPr>
            <w:tcW w:w="1020" w:type="pct"/>
            <w:tcBorders>
              <w:top w:val="single" w:sz="2" w:space="0" w:color="auto"/>
              <w:left w:val="single" w:sz="2" w:space="0" w:color="auto"/>
              <w:bottom w:val="single" w:sz="6" w:space="0" w:color="808080"/>
              <w:right w:val="single" w:sz="2" w:space="0" w:color="auto"/>
            </w:tcBorders>
            <w:tcMar>
              <w:top w:w="120" w:type="dxa"/>
              <w:left w:w="120" w:type="dxa"/>
              <w:bottom w:w="120" w:type="dxa"/>
              <w:right w:w="120" w:type="dxa"/>
            </w:tcMar>
          </w:tcPr>
          <w:p w:rsidR="00AC39EF" w:rsidRPr="00047CF3" w:rsidRDefault="00AC39EF" w:rsidP="0019107A">
            <w:pPr>
              <w:jc w:val="left"/>
              <w:rPr>
                <w:rFonts w:ascii="Arial" w:hAnsi="Arial" w:cs="Arial"/>
                <w:sz w:val="19"/>
                <w:szCs w:val="19"/>
                <w:lang w:eastAsia="en-NZ"/>
              </w:rPr>
            </w:pPr>
            <w:r w:rsidRPr="00047CF3">
              <w:rPr>
                <w:rFonts w:ascii="Arial" w:hAnsi="Arial" w:cs="Arial"/>
                <w:sz w:val="19"/>
                <w:szCs w:val="19"/>
                <w:lang w:eastAsia="en-NZ"/>
              </w:rPr>
              <w:t>Nelson</w:t>
            </w:r>
          </w:p>
        </w:tc>
        <w:tc>
          <w:tcPr>
            <w:tcW w:w="1394" w:type="pct"/>
            <w:tcBorders>
              <w:top w:val="single" w:sz="2" w:space="0" w:color="auto"/>
              <w:left w:val="single" w:sz="2" w:space="0" w:color="auto"/>
              <w:bottom w:val="single" w:sz="6" w:space="0" w:color="808080"/>
              <w:right w:val="single" w:sz="2" w:space="0" w:color="auto"/>
            </w:tcBorders>
            <w:tcMar>
              <w:top w:w="120" w:type="dxa"/>
              <w:left w:w="120" w:type="dxa"/>
              <w:bottom w:w="120" w:type="dxa"/>
              <w:right w:w="120" w:type="dxa"/>
            </w:tcMar>
          </w:tcPr>
          <w:p w:rsidR="00AC39EF" w:rsidRPr="00047CF3" w:rsidRDefault="00AC39EF" w:rsidP="0019107A">
            <w:pPr>
              <w:jc w:val="left"/>
              <w:rPr>
                <w:rFonts w:ascii="Arial" w:hAnsi="Arial" w:cs="Arial"/>
                <w:sz w:val="19"/>
                <w:szCs w:val="19"/>
                <w:lang w:eastAsia="en-NZ"/>
              </w:rPr>
            </w:pPr>
          </w:p>
        </w:tc>
        <w:tc>
          <w:tcPr>
            <w:tcW w:w="1300" w:type="pct"/>
            <w:tcBorders>
              <w:top w:val="single" w:sz="2" w:space="0" w:color="auto"/>
              <w:left w:val="single" w:sz="2" w:space="0" w:color="auto"/>
              <w:bottom w:val="single" w:sz="6" w:space="0" w:color="808080"/>
              <w:right w:val="single" w:sz="2" w:space="0" w:color="auto"/>
            </w:tcBorders>
            <w:tcMar>
              <w:top w:w="120" w:type="dxa"/>
              <w:left w:w="120" w:type="dxa"/>
              <w:bottom w:w="120" w:type="dxa"/>
              <w:right w:w="120" w:type="dxa"/>
            </w:tcMar>
          </w:tcPr>
          <w:p w:rsidR="00AC39EF" w:rsidRPr="00047CF3" w:rsidRDefault="00AC39EF" w:rsidP="0019107A">
            <w:pPr>
              <w:jc w:val="left"/>
              <w:rPr>
                <w:rFonts w:ascii="Arial" w:hAnsi="Arial" w:cs="Arial"/>
                <w:sz w:val="19"/>
                <w:szCs w:val="19"/>
                <w:lang w:eastAsia="en-NZ"/>
              </w:rPr>
            </w:pPr>
            <w:r w:rsidRPr="00047CF3">
              <w:rPr>
                <w:rFonts w:ascii="Arial" w:hAnsi="Arial" w:cs="Arial"/>
                <w:sz w:val="19"/>
                <w:szCs w:val="19"/>
                <w:lang w:eastAsia="en-NZ"/>
              </w:rPr>
              <w:t>Yes</w:t>
            </w:r>
          </w:p>
        </w:tc>
      </w:tr>
      <w:tr w:rsidR="00AC39EF" w:rsidRPr="00AC39EF" w:rsidTr="002D128C">
        <w:trPr>
          <w:cantSplit/>
          <w:trHeight w:val="411"/>
          <w:tblHeader/>
        </w:trPr>
        <w:tc>
          <w:tcPr>
            <w:tcW w:w="1286" w:type="pct"/>
            <w:tcBorders>
              <w:top w:val="single" w:sz="2" w:space="0" w:color="auto"/>
              <w:left w:val="single" w:sz="2" w:space="0" w:color="auto"/>
              <w:bottom w:val="single" w:sz="6" w:space="0" w:color="808080"/>
              <w:right w:val="single" w:sz="2" w:space="0" w:color="auto"/>
            </w:tcBorders>
            <w:tcMar>
              <w:top w:w="120" w:type="dxa"/>
              <w:left w:w="120" w:type="dxa"/>
              <w:bottom w:w="120" w:type="dxa"/>
              <w:right w:w="120" w:type="dxa"/>
            </w:tcMar>
          </w:tcPr>
          <w:p w:rsidR="00AC39EF" w:rsidRPr="00047CF3" w:rsidRDefault="00CC0B85" w:rsidP="0019107A">
            <w:pPr>
              <w:jc w:val="left"/>
              <w:rPr>
                <w:rFonts w:ascii="Arial" w:hAnsi="Arial" w:cs="Arial"/>
                <w:sz w:val="19"/>
                <w:szCs w:val="19"/>
                <w:lang w:eastAsia="en-NZ"/>
              </w:rPr>
            </w:pPr>
            <w:hyperlink r:id="rId33" w:history="1">
              <w:r w:rsidR="00AC39EF" w:rsidRPr="00047CF3">
                <w:rPr>
                  <w:rFonts w:ascii="Arial" w:hAnsi="Arial" w:cs="Arial"/>
                  <w:sz w:val="19"/>
                  <w:szCs w:val="19"/>
                  <w:lang w:eastAsia="en-NZ"/>
                </w:rPr>
                <w:t>Redruth Landfill</w:t>
              </w:r>
            </w:hyperlink>
          </w:p>
        </w:tc>
        <w:tc>
          <w:tcPr>
            <w:tcW w:w="1020" w:type="pct"/>
            <w:tcBorders>
              <w:top w:val="single" w:sz="2" w:space="0" w:color="auto"/>
              <w:left w:val="single" w:sz="2" w:space="0" w:color="auto"/>
              <w:bottom w:val="single" w:sz="6" w:space="0" w:color="808080"/>
              <w:right w:val="single" w:sz="2" w:space="0" w:color="auto"/>
            </w:tcBorders>
            <w:tcMar>
              <w:top w:w="120" w:type="dxa"/>
              <w:left w:w="120" w:type="dxa"/>
              <w:bottom w:w="120" w:type="dxa"/>
              <w:right w:w="120" w:type="dxa"/>
            </w:tcMar>
          </w:tcPr>
          <w:p w:rsidR="00AC39EF" w:rsidRPr="00047CF3" w:rsidRDefault="00AC39EF" w:rsidP="0019107A">
            <w:pPr>
              <w:jc w:val="left"/>
              <w:rPr>
                <w:rFonts w:ascii="Arial" w:hAnsi="Arial" w:cs="Arial"/>
                <w:sz w:val="19"/>
                <w:szCs w:val="19"/>
                <w:lang w:eastAsia="en-NZ"/>
              </w:rPr>
            </w:pPr>
            <w:proofErr w:type="spellStart"/>
            <w:r w:rsidRPr="00047CF3">
              <w:rPr>
                <w:rFonts w:ascii="Arial" w:hAnsi="Arial" w:cs="Arial"/>
                <w:sz w:val="19"/>
                <w:szCs w:val="19"/>
                <w:lang w:eastAsia="en-NZ"/>
              </w:rPr>
              <w:t>Timaru</w:t>
            </w:r>
            <w:proofErr w:type="spellEnd"/>
          </w:p>
        </w:tc>
        <w:tc>
          <w:tcPr>
            <w:tcW w:w="1394" w:type="pct"/>
            <w:tcBorders>
              <w:top w:val="single" w:sz="2" w:space="0" w:color="auto"/>
              <w:left w:val="single" w:sz="2" w:space="0" w:color="auto"/>
              <w:bottom w:val="single" w:sz="6" w:space="0" w:color="808080"/>
              <w:right w:val="single" w:sz="2" w:space="0" w:color="auto"/>
            </w:tcBorders>
            <w:tcMar>
              <w:top w:w="120" w:type="dxa"/>
              <w:left w:w="120" w:type="dxa"/>
              <w:bottom w:w="120" w:type="dxa"/>
              <w:right w:w="120" w:type="dxa"/>
            </w:tcMar>
          </w:tcPr>
          <w:p w:rsidR="00AC39EF" w:rsidRPr="00047CF3" w:rsidRDefault="00AC39EF" w:rsidP="0019107A">
            <w:pPr>
              <w:jc w:val="left"/>
              <w:rPr>
                <w:rFonts w:ascii="Arial" w:hAnsi="Arial" w:cs="Arial"/>
                <w:sz w:val="19"/>
                <w:szCs w:val="19"/>
                <w:lang w:eastAsia="en-NZ"/>
              </w:rPr>
            </w:pPr>
            <w:r w:rsidRPr="00047CF3">
              <w:rPr>
                <w:rFonts w:ascii="Arial" w:hAnsi="Arial" w:cs="Arial"/>
                <w:sz w:val="19"/>
                <w:szCs w:val="19"/>
                <w:lang w:eastAsia="en-NZ"/>
              </w:rPr>
              <w:t>Yes</w:t>
            </w:r>
          </w:p>
        </w:tc>
        <w:tc>
          <w:tcPr>
            <w:tcW w:w="1300" w:type="pct"/>
            <w:tcBorders>
              <w:top w:val="single" w:sz="2" w:space="0" w:color="auto"/>
              <w:left w:val="single" w:sz="2" w:space="0" w:color="auto"/>
              <w:bottom w:val="single" w:sz="6" w:space="0" w:color="808080"/>
              <w:right w:val="single" w:sz="2" w:space="0" w:color="auto"/>
            </w:tcBorders>
            <w:tcMar>
              <w:top w:w="120" w:type="dxa"/>
              <w:left w:w="120" w:type="dxa"/>
              <w:bottom w:w="120" w:type="dxa"/>
              <w:right w:w="120" w:type="dxa"/>
            </w:tcMar>
          </w:tcPr>
          <w:p w:rsidR="00AC39EF" w:rsidRPr="00047CF3" w:rsidRDefault="00AC39EF" w:rsidP="0019107A">
            <w:pPr>
              <w:jc w:val="left"/>
              <w:rPr>
                <w:rFonts w:ascii="Arial" w:hAnsi="Arial" w:cs="Arial"/>
                <w:sz w:val="19"/>
                <w:szCs w:val="19"/>
                <w:lang w:eastAsia="en-NZ"/>
              </w:rPr>
            </w:pPr>
          </w:p>
        </w:tc>
      </w:tr>
      <w:tr w:rsidR="00AC39EF" w:rsidRPr="00AC39EF" w:rsidTr="002D128C">
        <w:trPr>
          <w:cantSplit/>
          <w:tblHeader/>
        </w:trPr>
        <w:tc>
          <w:tcPr>
            <w:tcW w:w="1286" w:type="pct"/>
            <w:tcBorders>
              <w:top w:val="single" w:sz="2" w:space="0" w:color="auto"/>
              <w:left w:val="single" w:sz="2" w:space="0" w:color="auto"/>
              <w:bottom w:val="single" w:sz="6" w:space="0" w:color="808080"/>
              <w:right w:val="single" w:sz="2" w:space="0" w:color="auto"/>
            </w:tcBorders>
            <w:tcMar>
              <w:top w:w="120" w:type="dxa"/>
              <w:left w:w="120" w:type="dxa"/>
              <w:bottom w:w="120" w:type="dxa"/>
              <w:right w:w="120" w:type="dxa"/>
            </w:tcMar>
          </w:tcPr>
          <w:p w:rsidR="00AC39EF" w:rsidRPr="00047CF3" w:rsidRDefault="00CC0B85" w:rsidP="0019107A">
            <w:pPr>
              <w:jc w:val="left"/>
              <w:rPr>
                <w:rFonts w:ascii="Arial" w:hAnsi="Arial" w:cs="Arial"/>
                <w:sz w:val="19"/>
                <w:szCs w:val="19"/>
                <w:lang w:eastAsia="en-NZ"/>
              </w:rPr>
            </w:pPr>
            <w:hyperlink r:id="rId34" w:history="1">
              <w:r w:rsidR="00AC39EF" w:rsidRPr="00047CF3">
                <w:rPr>
                  <w:rFonts w:ascii="Arial" w:hAnsi="Arial" w:cs="Arial"/>
                  <w:sz w:val="19"/>
                  <w:szCs w:val="19"/>
                  <w:lang w:eastAsia="en-NZ"/>
                </w:rPr>
                <w:t>Kate Valley</w:t>
              </w:r>
            </w:hyperlink>
          </w:p>
        </w:tc>
        <w:tc>
          <w:tcPr>
            <w:tcW w:w="1020" w:type="pct"/>
            <w:tcBorders>
              <w:top w:val="single" w:sz="2" w:space="0" w:color="auto"/>
              <w:left w:val="single" w:sz="2" w:space="0" w:color="auto"/>
              <w:bottom w:val="single" w:sz="6" w:space="0" w:color="808080"/>
              <w:right w:val="single" w:sz="2" w:space="0" w:color="auto"/>
            </w:tcBorders>
            <w:tcMar>
              <w:top w:w="120" w:type="dxa"/>
              <w:left w:w="120" w:type="dxa"/>
              <w:bottom w:w="120" w:type="dxa"/>
              <w:right w:w="120" w:type="dxa"/>
            </w:tcMar>
          </w:tcPr>
          <w:p w:rsidR="00AC39EF" w:rsidRPr="00047CF3" w:rsidRDefault="00AC39EF" w:rsidP="0019107A">
            <w:pPr>
              <w:jc w:val="left"/>
              <w:rPr>
                <w:rFonts w:ascii="Arial" w:hAnsi="Arial" w:cs="Arial"/>
                <w:sz w:val="19"/>
                <w:szCs w:val="19"/>
                <w:lang w:eastAsia="en-NZ"/>
              </w:rPr>
            </w:pPr>
            <w:r w:rsidRPr="00047CF3">
              <w:rPr>
                <w:rFonts w:ascii="Arial" w:hAnsi="Arial" w:cs="Arial"/>
                <w:sz w:val="19"/>
                <w:szCs w:val="19"/>
                <w:lang w:eastAsia="en-NZ"/>
              </w:rPr>
              <w:t>Amberley</w:t>
            </w:r>
          </w:p>
        </w:tc>
        <w:tc>
          <w:tcPr>
            <w:tcW w:w="1394" w:type="pct"/>
            <w:tcBorders>
              <w:top w:val="single" w:sz="2" w:space="0" w:color="auto"/>
              <w:left w:val="single" w:sz="2" w:space="0" w:color="auto"/>
              <w:bottom w:val="single" w:sz="6" w:space="0" w:color="808080"/>
              <w:right w:val="single" w:sz="2" w:space="0" w:color="auto"/>
            </w:tcBorders>
            <w:tcMar>
              <w:top w:w="120" w:type="dxa"/>
              <w:left w:w="120" w:type="dxa"/>
              <w:bottom w:w="120" w:type="dxa"/>
              <w:right w:w="120" w:type="dxa"/>
            </w:tcMar>
          </w:tcPr>
          <w:p w:rsidR="00AC39EF" w:rsidRPr="00047CF3" w:rsidRDefault="00AC39EF" w:rsidP="0019107A">
            <w:pPr>
              <w:jc w:val="left"/>
              <w:rPr>
                <w:rFonts w:ascii="Arial" w:hAnsi="Arial" w:cs="Arial"/>
                <w:sz w:val="19"/>
                <w:szCs w:val="19"/>
                <w:lang w:eastAsia="en-NZ"/>
              </w:rPr>
            </w:pPr>
          </w:p>
        </w:tc>
        <w:tc>
          <w:tcPr>
            <w:tcW w:w="1300" w:type="pct"/>
            <w:tcBorders>
              <w:top w:val="single" w:sz="2" w:space="0" w:color="auto"/>
              <w:left w:val="single" w:sz="2" w:space="0" w:color="auto"/>
              <w:bottom w:val="single" w:sz="6" w:space="0" w:color="808080"/>
              <w:right w:val="single" w:sz="2" w:space="0" w:color="auto"/>
            </w:tcBorders>
            <w:tcMar>
              <w:top w:w="120" w:type="dxa"/>
              <w:left w:w="120" w:type="dxa"/>
              <w:bottom w:w="120" w:type="dxa"/>
              <w:right w:w="120" w:type="dxa"/>
            </w:tcMar>
          </w:tcPr>
          <w:p w:rsidR="00AC39EF" w:rsidRPr="00047CF3" w:rsidRDefault="00AC39EF" w:rsidP="0019107A">
            <w:pPr>
              <w:jc w:val="left"/>
              <w:rPr>
                <w:rFonts w:ascii="Arial" w:hAnsi="Arial" w:cs="Arial"/>
                <w:sz w:val="19"/>
                <w:szCs w:val="19"/>
                <w:lang w:eastAsia="en-NZ"/>
              </w:rPr>
            </w:pPr>
            <w:r w:rsidRPr="00047CF3">
              <w:rPr>
                <w:rFonts w:ascii="Arial" w:hAnsi="Arial" w:cs="Arial"/>
                <w:sz w:val="19"/>
                <w:szCs w:val="19"/>
                <w:lang w:eastAsia="en-NZ"/>
              </w:rPr>
              <w:t>Yes</w:t>
            </w:r>
          </w:p>
        </w:tc>
      </w:tr>
      <w:tr w:rsidR="00AC39EF" w:rsidRPr="00AC39EF" w:rsidTr="002D128C">
        <w:trPr>
          <w:cantSplit/>
          <w:tblHeader/>
        </w:trPr>
        <w:tc>
          <w:tcPr>
            <w:tcW w:w="1286" w:type="pct"/>
            <w:tcBorders>
              <w:top w:val="single" w:sz="2" w:space="0" w:color="auto"/>
              <w:left w:val="single" w:sz="2" w:space="0" w:color="auto"/>
              <w:bottom w:val="single" w:sz="6" w:space="0" w:color="808080"/>
              <w:right w:val="single" w:sz="2" w:space="0" w:color="auto"/>
            </w:tcBorders>
            <w:tcMar>
              <w:top w:w="120" w:type="dxa"/>
              <w:left w:w="120" w:type="dxa"/>
              <w:bottom w:w="120" w:type="dxa"/>
              <w:right w:w="120" w:type="dxa"/>
            </w:tcMar>
          </w:tcPr>
          <w:p w:rsidR="00AC39EF" w:rsidRPr="00047CF3" w:rsidRDefault="00CC0B85" w:rsidP="0019107A">
            <w:pPr>
              <w:jc w:val="left"/>
              <w:rPr>
                <w:rFonts w:ascii="Arial" w:hAnsi="Arial" w:cs="Arial"/>
                <w:sz w:val="19"/>
                <w:szCs w:val="19"/>
                <w:lang w:eastAsia="en-NZ"/>
              </w:rPr>
            </w:pPr>
            <w:hyperlink r:id="rId35" w:history="1">
              <w:r w:rsidR="00AC39EF" w:rsidRPr="00047CF3">
                <w:rPr>
                  <w:rFonts w:ascii="Arial" w:hAnsi="Arial" w:cs="Arial"/>
                  <w:sz w:val="19"/>
                  <w:szCs w:val="19"/>
                  <w:lang w:eastAsia="en-NZ"/>
                </w:rPr>
                <w:t>AB Lime Limited</w:t>
              </w:r>
            </w:hyperlink>
          </w:p>
        </w:tc>
        <w:tc>
          <w:tcPr>
            <w:tcW w:w="1020" w:type="pct"/>
            <w:tcBorders>
              <w:top w:val="single" w:sz="2" w:space="0" w:color="auto"/>
              <w:left w:val="single" w:sz="2" w:space="0" w:color="auto"/>
              <w:bottom w:val="single" w:sz="6" w:space="0" w:color="808080"/>
              <w:right w:val="single" w:sz="2" w:space="0" w:color="auto"/>
            </w:tcBorders>
            <w:tcMar>
              <w:top w:w="120" w:type="dxa"/>
              <w:left w:w="120" w:type="dxa"/>
              <w:bottom w:w="120" w:type="dxa"/>
              <w:right w:w="120" w:type="dxa"/>
            </w:tcMar>
          </w:tcPr>
          <w:p w:rsidR="00AC39EF" w:rsidRPr="00047CF3" w:rsidRDefault="00AC39EF" w:rsidP="0019107A">
            <w:pPr>
              <w:jc w:val="left"/>
              <w:rPr>
                <w:rFonts w:ascii="Arial" w:hAnsi="Arial" w:cs="Arial"/>
                <w:sz w:val="19"/>
                <w:szCs w:val="19"/>
                <w:lang w:eastAsia="en-NZ"/>
              </w:rPr>
            </w:pPr>
            <w:r w:rsidRPr="00047CF3">
              <w:rPr>
                <w:rFonts w:ascii="Arial" w:hAnsi="Arial" w:cs="Arial"/>
                <w:sz w:val="19"/>
                <w:szCs w:val="19"/>
                <w:lang w:eastAsia="en-NZ"/>
              </w:rPr>
              <w:t>Winton</w:t>
            </w:r>
          </w:p>
        </w:tc>
        <w:tc>
          <w:tcPr>
            <w:tcW w:w="1394" w:type="pct"/>
            <w:tcBorders>
              <w:top w:val="single" w:sz="2" w:space="0" w:color="auto"/>
              <w:left w:val="single" w:sz="2" w:space="0" w:color="auto"/>
              <w:bottom w:val="single" w:sz="6" w:space="0" w:color="808080"/>
              <w:right w:val="single" w:sz="2" w:space="0" w:color="auto"/>
            </w:tcBorders>
            <w:tcMar>
              <w:top w:w="120" w:type="dxa"/>
              <w:left w:w="120" w:type="dxa"/>
              <w:bottom w:w="120" w:type="dxa"/>
              <w:right w:w="120" w:type="dxa"/>
            </w:tcMar>
          </w:tcPr>
          <w:p w:rsidR="00AC39EF" w:rsidRPr="00047CF3" w:rsidRDefault="00AC39EF" w:rsidP="0019107A">
            <w:pPr>
              <w:jc w:val="left"/>
              <w:rPr>
                <w:rFonts w:ascii="Arial" w:hAnsi="Arial" w:cs="Arial"/>
                <w:sz w:val="19"/>
                <w:szCs w:val="19"/>
                <w:lang w:eastAsia="en-NZ"/>
              </w:rPr>
            </w:pPr>
            <w:r w:rsidRPr="00047CF3">
              <w:rPr>
                <w:rFonts w:ascii="Arial" w:hAnsi="Arial" w:cs="Arial"/>
                <w:sz w:val="19"/>
                <w:szCs w:val="19"/>
                <w:lang w:eastAsia="en-NZ"/>
              </w:rPr>
              <w:t>Yes</w:t>
            </w:r>
          </w:p>
        </w:tc>
        <w:tc>
          <w:tcPr>
            <w:tcW w:w="1300" w:type="pct"/>
            <w:tcBorders>
              <w:top w:val="single" w:sz="2" w:space="0" w:color="auto"/>
              <w:left w:val="single" w:sz="2" w:space="0" w:color="auto"/>
              <w:bottom w:val="single" w:sz="6" w:space="0" w:color="808080"/>
              <w:right w:val="single" w:sz="2" w:space="0" w:color="auto"/>
            </w:tcBorders>
            <w:tcMar>
              <w:top w:w="120" w:type="dxa"/>
              <w:left w:w="120" w:type="dxa"/>
              <w:bottom w:w="120" w:type="dxa"/>
              <w:right w:w="120" w:type="dxa"/>
            </w:tcMar>
          </w:tcPr>
          <w:p w:rsidR="00AC39EF" w:rsidRPr="00047CF3" w:rsidRDefault="00AC39EF" w:rsidP="0019107A">
            <w:pPr>
              <w:jc w:val="left"/>
              <w:rPr>
                <w:rFonts w:ascii="Arial" w:hAnsi="Arial" w:cs="Arial"/>
                <w:sz w:val="19"/>
                <w:szCs w:val="19"/>
                <w:lang w:eastAsia="en-NZ"/>
              </w:rPr>
            </w:pPr>
          </w:p>
        </w:tc>
      </w:tr>
      <w:tr w:rsidR="00AC39EF" w:rsidRPr="00AC39EF" w:rsidTr="002D128C">
        <w:trPr>
          <w:cantSplit/>
          <w:tblHeader/>
        </w:trPr>
        <w:tc>
          <w:tcPr>
            <w:tcW w:w="1286" w:type="pct"/>
            <w:tcBorders>
              <w:top w:val="single" w:sz="2" w:space="0" w:color="auto"/>
              <w:left w:val="single" w:sz="2" w:space="0" w:color="auto"/>
              <w:bottom w:val="single" w:sz="6" w:space="0" w:color="808080"/>
              <w:right w:val="single" w:sz="2" w:space="0" w:color="auto"/>
            </w:tcBorders>
            <w:tcMar>
              <w:top w:w="120" w:type="dxa"/>
              <w:left w:w="120" w:type="dxa"/>
              <w:bottom w:w="120" w:type="dxa"/>
              <w:right w:w="120" w:type="dxa"/>
            </w:tcMar>
          </w:tcPr>
          <w:p w:rsidR="00AC39EF" w:rsidRPr="00047CF3" w:rsidRDefault="00CC0B85" w:rsidP="0019107A">
            <w:pPr>
              <w:jc w:val="left"/>
              <w:rPr>
                <w:rFonts w:ascii="Arial" w:hAnsi="Arial" w:cs="Arial"/>
                <w:sz w:val="19"/>
                <w:szCs w:val="19"/>
                <w:lang w:eastAsia="en-NZ"/>
              </w:rPr>
            </w:pPr>
            <w:hyperlink r:id="rId36" w:history="1">
              <w:r w:rsidR="00AC39EF" w:rsidRPr="00047CF3">
                <w:rPr>
                  <w:rFonts w:ascii="Arial" w:hAnsi="Arial" w:cs="Arial"/>
                  <w:sz w:val="19"/>
                  <w:szCs w:val="19"/>
                  <w:lang w:eastAsia="en-NZ"/>
                </w:rPr>
                <w:t>Northland Regional Landfill</w:t>
              </w:r>
            </w:hyperlink>
          </w:p>
        </w:tc>
        <w:tc>
          <w:tcPr>
            <w:tcW w:w="1020" w:type="pct"/>
            <w:tcBorders>
              <w:top w:val="single" w:sz="2" w:space="0" w:color="auto"/>
              <w:left w:val="single" w:sz="2" w:space="0" w:color="auto"/>
              <w:bottom w:val="single" w:sz="6" w:space="0" w:color="808080"/>
              <w:right w:val="single" w:sz="2" w:space="0" w:color="auto"/>
            </w:tcBorders>
            <w:tcMar>
              <w:top w:w="120" w:type="dxa"/>
              <w:left w:w="120" w:type="dxa"/>
              <w:bottom w:w="120" w:type="dxa"/>
              <w:right w:w="120" w:type="dxa"/>
            </w:tcMar>
          </w:tcPr>
          <w:p w:rsidR="00AC39EF" w:rsidRPr="00047CF3" w:rsidRDefault="00AC39EF" w:rsidP="0019107A">
            <w:pPr>
              <w:jc w:val="left"/>
              <w:rPr>
                <w:rFonts w:ascii="Arial" w:hAnsi="Arial" w:cs="Arial"/>
                <w:sz w:val="19"/>
                <w:szCs w:val="19"/>
                <w:lang w:eastAsia="en-NZ"/>
              </w:rPr>
            </w:pPr>
            <w:proofErr w:type="spellStart"/>
            <w:r w:rsidRPr="00047CF3">
              <w:rPr>
                <w:rFonts w:ascii="Arial" w:hAnsi="Arial" w:cs="Arial"/>
                <w:sz w:val="19"/>
                <w:szCs w:val="19"/>
                <w:lang w:eastAsia="en-NZ"/>
              </w:rPr>
              <w:t>Puwera</w:t>
            </w:r>
            <w:proofErr w:type="spellEnd"/>
            <w:r w:rsidRPr="00047CF3">
              <w:rPr>
                <w:rFonts w:ascii="Arial" w:hAnsi="Arial" w:cs="Arial"/>
                <w:sz w:val="19"/>
                <w:szCs w:val="19"/>
                <w:lang w:eastAsia="en-NZ"/>
              </w:rPr>
              <w:t xml:space="preserve">, </w:t>
            </w:r>
            <w:proofErr w:type="spellStart"/>
            <w:r w:rsidRPr="00047CF3">
              <w:rPr>
                <w:rFonts w:ascii="Arial" w:hAnsi="Arial" w:cs="Arial"/>
                <w:sz w:val="19"/>
                <w:szCs w:val="19"/>
                <w:lang w:eastAsia="en-NZ"/>
              </w:rPr>
              <w:t>Whangarei</w:t>
            </w:r>
            <w:proofErr w:type="spellEnd"/>
          </w:p>
        </w:tc>
        <w:tc>
          <w:tcPr>
            <w:tcW w:w="1394" w:type="pct"/>
            <w:tcBorders>
              <w:top w:val="single" w:sz="2" w:space="0" w:color="auto"/>
              <w:left w:val="single" w:sz="2" w:space="0" w:color="auto"/>
              <w:bottom w:val="single" w:sz="6" w:space="0" w:color="808080"/>
              <w:right w:val="single" w:sz="2" w:space="0" w:color="auto"/>
            </w:tcBorders>
            <w:tcMar>
              <w:top w:w="120" w:type="dxa"/>
              <w:left w:w="120" w:type="dxa"/>
              <w:bottom w:w="120" w:type="dxa"/>
              <w:right w:w="120" w:type="dxa"/>
            </w:tcMar>
          </w:tcPr>
          <w:p w:rsidR="00AC39EF" w:rsidRPr="00047CF3" w:rsidRDefault="00AC39EF" w:rsidP="0019107A">
            <w:pPr>
              <w:jc w:val="left"/>
              <w:rPr>
                <w:rFonts w:ascii="Arial" w:hAnsi="Arial" w:cs="Arial"/>
                <w:sz w:val="19"/>
                <w:szCs w:val="19"/>
                <w:lang w:eastAsia="en-NZ"/>
              </w:rPr>
            </w:pPr>
            <w:r w:rsidRPr="00047CF3">
              <w:rPr>
                <w:rFonts w:ascii="Arial" w:hAnsi="Arial" w:cs="Arial"/>
                <w:sz w:val="19"/>
                <w:szCs w:val="19"/>
                <w:lang w:eastAsia="en-NZ"/>
              </w:rPr>
              <w:t>Yes</w:t>
            </w:r>
          </w:p>
        </w:tc>
        <w:tc>
          <w:tcPr>
            <w:tcW w:w="1300" w:type="pct"/>
            <w:tcBorders>
              <w:top w:val="single" w:sz="2" w:space="0" w:color="auto"/>
              <w:left w:val="single" w:sz="2" w:space="0" w:color="auto"/>
              <w:bottom w:val="single" w:sz="6" w:space="0" w:color="808080"/>
              <w:right w:val="single" w:sz="2" w:space="0" w:color="auto"/>
            </w:tcBorders>
            <w:tcMar>
              <w:top w:w="120" w:type="dxa"/>
              <w:left w:w="120" w:type="dxa"/>
              <w:bottom w:w="120" w:type="dxa"/>
              <w:right w:w="120" w:type="dxa"/>
            </w:tcMar>
          </w:tcPr>
          <w:p w:rsidR="00AC39EF" w:rsidRPr="00047CF3" w:rsidRDefault="00AC39EF" w:rsidP="0019107A">
            <w:pPr>
              <w:jc w:val="left"/>
              <w:rPr>
                <w:rFonts w:ascii="Arial" w:hAnsi="Arial" w:cs="Arial"/>
                <w:sz w:val="19"/>
                <w:szCs w:val="19"/>
                <w:lang w:eastAsia="en-NZ"/>
              </w:rPr>
            </w:pPr>
          </w:p>
        </w:tc>
      </w:tr>
      <w:tr w:rsidR="00AC39EF" w:rsidRPr="00AC39EF" w:rsidTr="002D128C">
        <w:trPr>
          <w:cantSplit/>
          <w:tblHeader/>
        </w:trPr>
        <w:tc>
          <w:tcPr>
            <w:tcW w:w="1286" w:type="pct"/>
            <w:tcBorders>
              <w:top w:val="single" w:sz="2" w:space="0" w:color="auto"/>
              <w:left w:val="single" w:sz="2" w:space="0" w:color="auto"/>
              <w:bottom w:val="single" w:sz="6" w:space="0" w:color="808080"/>
              <w:right w:val="single" w:sz="2" w:space="0" w:color="auto"/>
            </w:tcBorders>
            <w:tcMar>
              <w:top w:w="120" w:type="dxa"/>
              <w:left w:w="120" w:type="dxa"/>
              <w:bottom w:w="120" w:type="dxa"/>
              <w:right w:w="120" w:type="dxa"/>
            </w:tcMar>
          </w:tcPr>
          <w:p w:rsidR="00AC39EF" w:rsidRPr="00047CF3" w:rsidRDefault="00CC0B85" w:rsidP="0019107A">
            <w:pPr>
              <w:jc w:val="left"/>
              <w:rPr>
                <w:rFonts w:ascii="Arial" w:hAnsi="Arial" w:cs="Arial"/>
                <w:sz w:val="19"/>
                <w:szCs w:val="19"/>
                <w:lang w:eastAsia="en-NZ"/>
              </w:rPr>
            </w:pPr>
            <w:hyperlink r:id="rId37" w:history="1">
              <w:r w:rsidR="00AC39EF" w:rsidRPr="00047CF3">
                <w:rPr>
                  <w:rFonts w:ascii="Arial" w:hAnsi="Arial" w:cs="Arial"/>
                  <w:sz w:val="19"/>
                  <w:szCs w:val="19"/>
                  <w:lang w:eastAsia="en-NZ"/>
                </w:rPr>
                <w:t>Whitford Landfill</w:t>
              </w:r>
            </w:hyperlink>
          </w:p>
        </w:tc>
        <w:tc>
          <w:tcPr>
            <w:tcW w:w="1020" w:type="pct"/>
            <w:tcBorders>
              <w:top w:val="single" w:sz="2" w:space="0" w:color="auto"/>
              <w:left w:val="single" w:sz="2" w:space="0" w:color="auto"/>
              <w:bottom w:val="single" w:sz="6" w:space="0" w:color="808080"/>
              <w:right w:val="single" w:sz="2" w:space="0" w:color="auto"/>
            </w:tcBorders>
            <w:tcMar>
              <w:top w:w="120" w:type="dxa"/>
              <w:left w:w="120" w:type="dxa"/>
              <w:bottom w:w="120" w:type="dxa"/>
              <w:right w:w="120" w:type="dxa"/>
            </w:tcMar>
          </w:tcPr>
          <w:p w:rsidR="00AC39EF" w:rsidRPr="00047CF3" w:rsidRDefault="00AC39EF" w:rsidP="0019107A">
            <w:pPr>
              <w:jc w:val="left"/>
              <w:rPr>
                <w:rFonts w:ascii="Arial" w:hAnsi="Arial" w:cs="Arial"/>
                <w:sz w:val="19"/>
                <w:szCs w:val="19"/>
                <w:lang w:eastAsia="en-NZ"/>
              </w:rPr>
            </w:pPr>
            <w:r w:rsidRPr="00047CF3">
              <w:rPr>
                <w:rFonts w:ascii="Arial" w:hAnsi="Arial" w:cs="Arial"/>
                <w:sz w:val="19"/>
                <w:szCs w:val="19"/>
                <w:lang w:eastAsia="en-NZ"/>
              </w:rPr>
              <w:t>Whitford</w:t>
            </w:r>
          </w:p>
        </w:tc>
        <w:tc>
          <w:tcPr>
            <w:tcW w:w="1394" w:type="pct"/>
            <w:tcBorders>
              <w:top w:val="single" w:sz="2" w:space="0" w:color="auto"/>
              <w:left w:val="single" w:sz="2" w:space="0" w:color="auto"/>
              <w:bottom w:val="single" w:sz="6" w:space="0" w:color="808080"/>
              <w:right w:val="single" w:sz="2" w:space="0" w:color="auto"/>
            </w:tcBorders>
            <w:tcMar>
              <w:top w:w="120" w:type="dxa"/>
              <w:left w:w="120" w:type="dxa"/>
              <w:bottom w:w="120" w:type="dxa"/>
              <w:right w:w="120" w:type="dxa"/>
            </w:tcMar>
          </w:tcPr>
          <w:p w:rsidR="00AC39EF" w:rsidRPr="00047CF3" w:rsidRDefault="00AC39EF" w:rsidP="0019107A">
            <w:pPr>
              <w:jc w:val="left"/>
              <w:rPr>
                <w:rFonts w:ascii="Arial" w:hAnsi="Arial" w:cs="Arial"/>
                <w:sz w:val="19"/>
                <w:szCs w:val="19"/>
                <w:lang w:eastAsia="en-NZ"/>
              </w:rPr>
            </w:pPr>
          </w:p>
        </w:tc>
        <w:tc>
          <w:tcPr>
            <w:tcW w:w="1300" w:type="pct"/>
            <w:tcBorders>
              <w:top w:val="single" w:sz="2" w:space="0" w:color="auto"/>
              <w:left w:val="single" w:sz="2" w:space="0" w:color="auto"/>
              <w:bottom w:val="single" w:sz="6" w:space="0" w:color="808080"/>
              <w:right w:val="single" w:sz="2" w:space="0" w:color="auto"/>
            </w:tcBorders>
            <w:tcMar>
              <w:top w:w="120" w:type="dxa"/>
              <w:left w:w="120" w:type="dxa"/>
              <w:bottom w:w="120" w:type="dxa"/>
              <w:right w:w="120" w:type="dxa"/>
            </w:tcMar>
          </w:tcPr>
          <w:p w:rsidR="00AC39EF" w:rsidRPr="00047CF3" w:rsidRDefault="00AC39EF" w:rsidP="0019107A">
            <w:pPr>
              <w:jc w:val="left"/>
              <w:rPr>
                <w:rFonts w:ascii="Arial" w:hAnsi="Arial" w:cs="Arial"/>
                <w:sz w:val="19"/>
                <w:szCs w:val="19"/>
                <w:lang w:eastAsia="en-NZ"/>
              </w:rPr>
            </w:pPr>
            <w:r w:rsidRPr="00047CF3">
              <w:rPr>
                <w:rFonts w:ascii="Arial" w:hAnsi="Arial" w:cs="Arial"/>
                <w:sz w:val="19"/>
                <w:szCs w:val="19"/>
                <w:lang w:eastAsia="en-NZ"/>
              </w:rPr>
              <w:t>Yes</w:t>
            </w:r>
          </w:p>
        </w:tc>
      </w:tr>
      <w:tr w:rsidR="00AC39EF" w:rsidRPr="00AC39EF" w:rsidTr="002D128C">
        <w:trPr>
          <w:cantSplit/>
          <w:tblHeader/>
        </w:trPr>
        <w:tc>
          <w:tcPr>
            <w:tcW w:w="1286" w:type="pct"/>
            <w:tcBorders>
              <w:top w:val="single" w:sz="2" w:space="0" w:color="auto"/>
              <w:left w:val="single" w:sz="2" w:space="0" w:color="auto"/>
              <w:bottom w:val="single" w:sz="6" w:space="0" w:color="808080"/>
              <w:right w:val="single" w:sz="2" w:space="0" w:color="auto"/>
            </w:tcBorders>
            <w:tcMar>
              <w:top w:w="120" w:type="dxa"/>
              <w:left w:w="120" w:type="dxa"/>
              <w:bottom w:w="120" w:type="dxa"/>
              <w:right w:w="120" w:type="dxa"/>
            </w:tcMar>
          </w:tcPr>
          <w:p w:rsidR="00AC39EF" w:rsidRPr="00047CF3" w:rsidRDefault="00CC0B85" w:rsidP="0019107A">
            <w:pPr>
              <w:jc w:val="left"/>
              <w:rPr>
                <w:rFonts w:ascii="Arial" w:hAnsi="Arial" w:cs="Arial"/>
                <w:sz w:val="19"/>
                <w:szCs w:val="19"/>
                <w:lang w:eastAsia="en-NZ"/>
              </w:rPr>
            </w:pPr>
            <w:hyperlink r:id="rId38" w:history="1">
              <w:proofErr w:type="spellStart"/>
              <w:r w:rsidR="00AC39EF" w:rsidRPr="00047CF3">
                <w:rPr>
                  <w:rFonts w:ascii="Arial" w:hAnsi="Arial" w:cs="Arial"/>
                  <w:sz w:val="19"/>
                  <w:szCs w:val="19"/>
                  <w:lang w:eastAsia="en-NZ"/>
                </w:rPr>
                <w:t>Redvale</w:t>
              </w:r>
              <w:proofErr w:type="spellEnd"/>
              <w:r w:rsidR="00AC39EF" w:rsidRPr="00047CF3">
                <w:rPr>
                  <w:rFonts w:ascii="Arial" w:hAnsi="Arial" w:cs="Arial"/>
                  <w:sz w:val="19"/>
                  <w:szCs w:val="19"/>
                  <w:lang w:eastAsia="en-NZ"/>
                </w:rPr>
                <w:t xml:space="preserve"> Landfill</w:t>
              </w:r>
            </w:hyperlink>
          </w:p>
        </w:tc>
        <w:tc>
          <w:tcPr>
            <w:tcW w:w="1020" w:type="pct"/>
            <w:tcBorders>
              <w:top w:val="single" w:sz="2" w:space="0" w:color="auto"/>
              <w:left w:val="single" w:sz="2" w:space="0" w:color="auto"/>
              <w:bottom w:val="single" w:sz="6" w:space="0" w:color="808080"/>
              <w:right w:val="single" w:sz="2" w:space="0" w:color="auto"/>
            </w:tcBorders>
            <w:tcMar>
              <w:top w:w="120" w:type="dxa"/>
              <w:left w:w="120" w:type="dxa"/>
              <w:bottom w:w="120" w:type="dxa"/>
              <w:right w:w="120" w:type="dxa"/>
            </w:tcMar>
          </w:tcPr>
          <w:p w:rsidR="00AC39EF" w:rsidRPr="00047CF3" w:rsidRDefault="00AC39EF" w:rsidP="0019107A">
            <w:pPr>
              <w:jc w:val="left"/>
              <w:rPr>
                <w:rFonts w:ascii="Arial" w:hAnsi="Arial" w:cs="Arial"/>
                <w:sz w:val="19"/>
                <w:szCs w:val="19"/>
                <w:lang w:eastAsia="en-NZ"/>
              </w:rPr>
            </w:pPr>
            <w:r w:rsidRPr="00047CF3">
              <w:rPr>
                <w:rFonts w:ascii="Arial" w:hAnsi="Arial" w:cs="Arial"/>
                <w:sz w:val="19"/>
                <w:szCs w:val="19"/>
                <w:lang w:eastAsia="en-NZ"/>
              </w:rPr>
              <w:t>Auckland</w:t>
            </w:r>
          </w:p>
        </w:tc>
        <w:tc>
          <w:tcPr>
            <w:tcW w:w="1394" w:type="pct"/>
            <w:tcBorders>
              <w:top w:val="single" w:sz="2" w:space="0" w:color="auto"/>
              <w:left w:val="single" w:sz="2" w:space="0" w:color="auto"/>
              <w:bottom w:val="single" w:sz="6" w:space="0" w:color="808080"/>
              <w:right w:val="single" w:sz="2" w:space="0" w:color="auto"/>
            </w:tcBorders>
            <w:tcMar>
              <w:top w:w="120" w:type="dxa"/>
              <w:left w:w="120" w:type="dxa"/>
              <w:bottom w:w="120" w:type="dxa"/>
              <w:right w:w="120" w:type="dxa"/>
            </w:tcMar>
          </w:tcPr>
          <w:p w:rsidR="00AC39EF" w:rsidRPr="00047CF3" w:rsidRDefault="00AC39EF" w:rsidP="0019107A">
            <w:pPr>
              <w:jc w:val="left"/>
              <w:rPr>
                <w:rFonts w:ascii="Arial" w:hAnsi="Arial" w:cs="Arial"/>
                <w:sz w:val="19"/>
                <w:szCs w:val="19"/>
                <w:lang w:eastAsia="en-NZ"/>
              </w:rPr>
            </w:pPr>
          </w:p>
        </w:tc>
        <w:tc>
          <w:tcPr>
            <w:tcW w:w="1300" w:type="pct"/>
            <w:tcBorders>
              <w:top w:val="single" w:sz="2" w:space="0" w:color="auto"/>
              <w:left w:val="single" w:sz="2" w:space="0" w:color="auto"/>
              <w:bottom w:val="single" w:sz="6" w:space="0" w:color="808080"/>
              <w:right w:val="single" w:sz="2" w:space="0" w:color="auto"/>
            </w:tcBorders>
            <w:tcMar>
              <w:top w:w="120" w:type="dxa"/>
              <w:left w:w="120" w:type="dxa"/>
              <w:bottom w:w="120" w:type="dxa"/>
              <w:right w:w="120" w:type="dxa"/>
            </w:tcMar>
          </w:tcPr>
          <w:p w:rsidR="00AC39EF" w:rsidRPr="00047CF3" w:rsidRDefault="00AC39EF" w:rsidP="0019107A">
            <w:pPr>
              <w:jc w:val="left"/>
              <w:rPr>
                <w:rFonts w:ascii="Arial" w:hAnsi="Arial" w:cs="Arial"/>
                <w:sz w:val="19"/>
                <w:szCs w:val="19"/>
                <w:lang w:eastAsia="en-NZ"/>
              </w:rPr>
            </w:pPr>
            <w:r w:rsidRPr="00047CF3">
              <w:rPr>
                <w:rFonts w:ascii="Arial" w:hAnsi="Arial" w:cs="Arial"/>
                <w:sz w:val="19"/>
                <w:szCs w:val="19"/>
                <w:lang w:eastAsia="en-NZ"/>
              </w:rPr>
              <w:t>Yes</w:t>
            </w:r>
          </w:p>
        </w:tc>
      </w:tr>
      <w:tr w:rsidR="00AC39EF" w:rsidRPr="00AC39EF" w:rsidTr="002D128C">
        <w:trPr>
          <w:cantSplit/>
          <w:tblHeader/>
        </w:trPr>
        <w:tc>
          <w:tcPr>
            <w:tcW w:w="1286" w:type="pct"/>
            <w:tcBorders>
              <w:top w:val="single" w:sz="2" w:space="0" w:color="auto"/>
              <w:left w:val="single" w:sz="2" w:space="0" w:color="auto"/>
              <w:bottom w:val="single" w:sz="6" w:space="0" w:color="808080"/>
              <w:right w:val="single" w:sz="2" w:space="0" w:color="auto"/>
            </w:tcBorders>
            <w:tcMar>
              <w:top w:w="120" w:type="dxa"/>
              <w:left w:w="120" w:type="dxa"/>
              <w:bottom w:w="120" w:type="dxa"/>
              <w:right w:w="120" w:type="dxa"/>
            </w:tcMar>
          </w:tcPr>
          <w:p w:rsidR="00AC39EF" w:rsidRPr="00047CF3" w:rsidRDefault="00CC0B85" w:rsidP="0019107A">
            <w:pPr>
              <w:jc w:val="left"/>
              <w:rPr>
                <w:rFonts w:ascii="Arial" w:hAnsi="Arial" w:cs="Arial"/>
                <w:sz w:val="19"/>
                <w:szCs w:val="19"/>
                <w:lang w:eastAsia="en-NZ"/>
              </w:rPr>
            </w:pPr>
            <w:hyperlink r:id="rId39" w:history="1">
              <w:r w:rsidR="00AC39EF" w:rsidRPr="00047CF3">
                <w:rPr>
                  <w:rFonts w:ascii="Arial" w:hAnsi="Arial" w:cs="Arial"/>
                  <w:sz w:val="19"/>
                  <w:szCs w:val="19"/>
                  <w:lang w:eastAsia="en-NZ"/>
                </w:rPr>
                <w:t>Hampton Downs Landfill</w:t>
              </w:r>
            </w:hyperlink>
          </w:p>
        </w:tc>
        <w:tc>
          <w:tcPr>
            <w:tcW w:w="1020" w:type="pct"/>
            <w:tcBorders>
              <w:top w:val="single" w:sz="2" w:space="0" w:color="auto"/>
              <w:left w:val="single" w:sz="2" w:space="0" w:color="auto"/>
              <w:bottom w:val="single" w:sz="6" w:space="0" w:color="808080"/>
              <w:right w:val="single" w:sz="2" w:space="0" w:color="auto"/>
            </w:tcBorders>
            <w:tcMar>
              <w:top w:w="120" w:type="dxa"/>
              <w:left w:w="120" w:type="dxa"/>
              <w:bottom w:w="120" w:type="dxa"/>
              <w:right w:w="120" w:type="dxa"/>
            </w:tcMar>
          </w:tcPr>
          <w:p w:rsidR="00AC39EF" w:rsidRPr="00047CF3" w:rsidRDefault="00AC39EF" w:rsidP="0019107A">
            <w:pPr>
              <w:jc w:val="left"/>
              <w:rPr>
                <w:rFonts w:ascii="Arial" w:hAnsi="Arial" w:cs="Arial"/>
                <w:sz w:val="19"/>
                <w:szCs w:val="19"/>
                <w:lang w:eastAsia="en-NZ"/>
              </w:rPr>
            </w:pPr>
            <w:proofErr w:type="spellStart"/>
            <w:r w:rsidRPr="00047CF3">
              <w:rPr>
                <w:rFonts w:ascii="Arial" w:hAnsi="Arial" w:cs="Arial"/>
                <w:sz w:val="19"/>
                <w:szCs w:val="19"/>
                <w:lang w:eastAsia="en-NZ"/>
              </w:rPr>
              <w:t>Te</w:t>
            </w:r>
            <w:proofErr w:type="spellEnd"/>
            <w:r w:rsidRPr="00047CF3">
              <w:rPr>
                <w:rFonts w:ascii="Arial" w:hAnsi="Arial" w:cs="Arial"/>
                <w:sz w:val="19"/>
                <w:szCs w:val="19"/>
                <w:lang w:eastAsia="en-NZ"/>
              </w:rPr>
              <w:t xml:space="preserve"> </w:t>
            </w:r>
            <w:proofErr w:type="spellStart"/>
            <w:r w:rsidRPr="00047CF3">
              <w:rPr>
                <w:rFonts w:ascii="Arial" w:hAnsi="Arial" w:cs="Arial"/>
                <w:sz w:val="19"/>
                <w:szCs w:val="19"/>
                <w:lang w:eastAsia="en-NZ"/>
              </w:rPr>
              <w:t>Kauwhata</w:t>
            </w:r>
            <w:proofErr w:type="spellEnd"/>
            <w:r w:rsidRPr="00047CF3">
              <w:rPr>
                <w:rFonts w:ascii="Arial" w:hAnsi="Arial" w:cs="Arial"/>
                <w:sz w:val="19"/>
                <w:szCs w:val="19"/>
                <w:lang w:eastAsia="en-NZ"/>
              </w:rPr>
              <w:t>, Auckland</w:t>
            </w:r>
          </w:p>
        </w:tc>
        <w:tc>
          <w:tcPr>
            <w:tcW w:w="1394" w:type="pct"/>
            <w:tcBorders>
              <w:top w:val="single" w:sz="2" w:space="0" w:color="auto"/>
              <w:left w:val="single" w:sz="2" w:space="0" w:color="auto"/>
              <w:bottom w:val="single" w:sz="6" w:space="0" w:color="808080"/>
              <w:right w:val="single" w:sz="2" w:space="0" w:color="auto"/>
            </w:tcBorders>
            <w:tcMar>
              <w:top w:w="120" w:type="dxa"/>
              <w:left w:w="120" w:type="dxa"/>
              <w:bottom w:w="120" w:type="dxa"/>
              <w:right w:w="120" w:type="dxa"/>
            </w:tcMar>
          </w:tcPr>
          <w:p w:rsidR="00AC39EF" w:rsidRPr="00047CF3" w:rsidRDefault="00AC39EF" w:rsidP="0019107A">
            <w:pPr>
              <w:jc w:val="left"/>
              <w:rPr>
                <w:rFonts w:ascii="Arial" w:hAnsi="Arial" w:cs="Arial"/>
                <w:sz w:val="19"/>
                <w:szCs w:val="19"/>
                <w:lang w:eastAsia="en-NZ"/>
              </w:rPr>
            </w:pPr>
          </w:p>
        </w:tc>
        <w:tc>
          <w:tcPr>
            <w:tcW w:w="1300" w:type="pct"/>
            <w:tcBorders>
              <w:top w:val="single" w:sz="2" w:space="0" w:color="auto"/>
              <w:left w:val="single" w:sz="2" w:space="0" w:color="auto"/>
              <w:bottom w:val="single" w:sz="6" w:space="0" w:color="808080"/>
              <w:right w:val="single" w:sz="2" w:space="0" w:color="auto"/>
            </w:tcBorders>
            <w:tcMar>
              <w:top w:w="120" w:type="dxa"/>
              <w:left w:w="120" w:type="dxa"/>
              <w:bottom w:w="120" w:type="dxa"/>
              <w:right w:w="120" w:type="dxa"/>
            </w:tcMar>
          </w:tcPr>
          <w:p w:rsidR="00AC39EF" w:rsidRPr="00047CF3" w:rsidRDefault="00AC39EF" w:rsidP="0019107A">
            <w:pPr>
              <w:jc w:val="left"/>
              <w:rPr>
                <w:rFonts w:ascii="Arial" w:hAnsi="Arial" w:cs="Arial"/>
                <w:sz w:val="19"/>
                <w:szCs w:val="19"/>
                <w:lang w:eastAsia="en-NZ"/>
              </w:rPr>
            </w:pPr>
            <w:r w:rsidRPr="00047CF3">
              <w:rPr>
                <w:rFonts w:ascii="Arial" w:hAnsi="Arial" w:cs="Arial"/>
                <w:sz w:val="19"/>
                <w:szCs w:val="19"/>
                <w:lang w:eastAsia="en-NZ"/>
              </w:rPr>
              <w:t>Yes</w:t>
            </w:r>
          </w:p>
        </w:tc>
      </w:tr>
      <w:tr w:rsidR="00AC39EF" w:rsidRPr="00AC39EF" w:rsidTr="002D128C">
        <w:trPr>
          <w:cantSplit/>
          <w:tblHeader/>
        </w:trPr>
        <w:tc>
          <w:tcPr>
            <w:tcW w:w="1286" w:type="pct"/>
            <w:tcBorders>
              <w:top w:val="single" w:sz="2" w:space="0" w:color="auto"/>
              <w:left w:val="single" w:sz="2" w:space="0" w:color="auto"/>
              <w:bottom w:val="single" w:sz="6" w:space="0" w:color="808080"/>
              <w:right w:val="single" w:sz="2" w:space="0" w:color="auto"/>
            </w:tcBorders>
            <w:tcMar>
              <w:top w:w="120" w:type="dxa"/>
              <w:left w:w="120" w:type="dxa"/>
              <w:bottom w:w="120" w:type="dxa"/>
              <w:right w:w="120" w:type="dxa"/>
            </w:tcMar>
          </w:tcPr>
          <w:p w:rsidR="00AC39EF" w:rsidRPr="00047CF3" w:rsidRDefault="00CC0B85" w:rsidP="0019107A">
            <w:pPr>
              <w:jc w:val="left"/>
              <w:rPr>
                <w:rFonts w:ascii="Arial" w:hAnsi="Arial" w:cs="Arial"/>
                <w:sz w:val="19"/>
                <w:szCs w:val="19"/>
                <w:lang w:eastAsia="en-NZ"/>
              </w:rPr>
            </w:pPr>
            <w:hyperlink r:id="rId40" w:history="1">
              <w:proofErr w:type="spellStart"/>
              <w:r w:rsidR="00AC39EF" w:rsidRPr="00047CF3">
                <w:rPr>
                  <w:rFonts w:ascii="Arial" w:hAnsi="Arial" w:cs="Arial"/>
                  <w:sz w:val="19"/>
                  <w:szCs w:val="19"/>
                  <w:lang w:eastAsia="en-NZ"/>
                </w:rPr>
                <w:t>Tirohia</w:t>
              </w:r>
              <w:proofErr w:type="spellEnd"/>
              <w:r w:rsidR="00AC39EF" w:rsidRPr="00047CF3">
                <w:rPr>
                  <w:rFonts w:ascii="Arial" w:hAnsi="Arial" w:cs="Arial"/>
                  <w:sz w:val="19"/>
                  <w:szCs w:val="19"/>
                  <w:lang w:eastAsia="en-NZ"/>
                </w:rPr>
                <w:t xml:space="preserve"> Landfill</w:t>
              </w:r>
            </w:hyperlink>
          </w:p>
        </w:tc>
        <w:tc>
          <w:tcPr>
            <w:tcW w:w="1020" w:type="pct"/>
            <w:tcBorders>
              <w:top w:val="single" w:sz="2" w:space="0" w:color="auto"/>
              <w:left w:val="single" w:sz="2" w:space="0" w:color="auto"/>
              <w:bottom w:val="single" w:sz="6" w:space="0" w:color="808080"/>
              <w:right w:val="single" w:sz="2" w:space="0" w:color="auto"/>
            </w:tcBorders>
            <w:tcMar>
              <w:top w:w="120" w:type="dxa"/>
              <w:left w:w="120" w:type="dxa"/>
              <w:bottom w:w="120" w:type="dxa"/>
              <w:right w:w="120" w:type="dxa"/>
            </w:tcMar>
          </w:tcPr>
          <w:p w:rsidR="00AC39EF" w:rsidRPr="00047CF3" w:rsidRDefault="00AC39EF" w:rsidP="0019107A">
            <w:pPr>
              <w:jc w:val="left"/>
              <w:rPr>
                <w:rFonts w:ascii="Arial" w:hAnsi="Arial" w:cs="Arial"/>
                <w:sz w:val="19"/>
                <w:szCs w:val="19"/>
                <w:lang w:eastAsia="en-NZ"/>
              </w:rPr>
            </w:pPr>
            <w:proofErr w:type="spellStart"/>
            <w:r w:rsidRPr="00047CF3">
              <w:rPr>
                <w:rFonts w:ascii="Arial" w:hAnsi="Arial" w:cs="Arial"/>
                <w:sz w:val="19"/>
                <w:szCs w:val="19"/>
                <w:lang w:eastAsia="en-NZ"/>
              </w:rPr>
              <w:t>Paeroa</w:t>
            </w:r>
            <w:proofErr w:type="spellEnd"/>
          </w:p>
        </w:tc>
        <w:tc>
          <w:tcPr>
            <w:tcW w:w="1394" w:type="pct"/>
            <w:tcBorders>
              <w:top w:val="single" w:sz="2" w:space="0" w:color="auto"/>
              <w:left w:val="single" w:sz="2" w:space="0" w:color="auto"/>
              <w:bottom w:val="single" w:sz="6" w:space="0" w:color="808080"/>
              <w:right w:val="single" w:sz="2" w:space="0" w:color="auto"/>
            </w:tcBorders>
            <w:tcMar>
              <w:top w:w="120" w:type="dxa"/>
              <w:left w:w="120" w:type="dxa"/>
              <w:bottom w:w="120" w:type="dxa"/>
              <w:right w:w="120" w:type="dxa"/>
            </w:tcMar>
          </w:tcPr>
          <w:p w:rsidR="00AC39EF" w:rsidRPr="00047CF3" w:rsidRDefault="00AC39EF" w:rsidP="0019107A">
            <w:pPr>
              <w:jc w:val="left"/>
              <w:rPr>
                <w:rFonts w:ascii="Arial" w:hAnsi="Arial" w:cs="Arial"/>
                <w:sz w:val="19"/>
                <w:szCs w:val="19"/>
                <w:lang w:eastAsia="en-NZ"/>
              </w:rPr>
            </w:pPr>
          </w:p>
        </w:tc>
        <w:tc>
          <w:tcPr>
            <w:tcW w:w="1300" w:type="pct"/>
            <w:tcBorders>
              <w:top w:val="single" w:sz="2" w:space="0" w:color="auto"/>
              <w:left w:val="single" w:sz="2" w:space="0" w:color="auto"/>
              <w:bottom w:val="single" w:sz="6" w:space="0" w:color="808080"/>
              <w:right w:val="single" w:sz="2" w:space="0" w:color="auto"/>
            </w:tcBorders>
            <w:tcMar>
              <w:top w:w="120" w:type="dxa"/>
              <w:left w:w="120" w:type="dxa"/>
              <w:bottom w:w="120" w:type="dxa"/>
              <w:right w:w="120" w:type="dxa"/>
            </w:tcMar>
          </w:tcPr>
          <w:p w:rsidR="00AC39EF" w:rsidRPr="00047CF3" w:rsidRDefault="00AC39EF" w:rsidP="0019107A">
            <w:pPr>
              <w:jc w:val="left"/>
              <w:rPr>
                <w:rFonts w:ascii="Arial" w:hAnsi="Arial" w:cs="Arial"/>
                <w:sz w:val="19"/>
                <w:szCs w:val="19"/>
                <w:lang w:eastAsia="en-NZ"/>
              </w:rPr>
            </w:pPr>
            <w:r w:rsidRPr="00047CF3">
              <w:rPr>
                <w:rFonts w:ascii="Arial" w:hAnsi="Arial" w:cs="Arial"/>
                <w:sz w:val="19"/>
                <w:szCs w:val="19"/>
                <w:lang w:eastAsia="en-NZ"/>
              </w:rPr>
              <w:t>Yes</w:t>
            </w:r>
          </w:p>
        </w:tc>
      </w:tr>
      <w:tr w:rsidR="00AC39EF" w:rsidRPr="00AC39EF" w:rsidTr="002D128C">
        <w:trPr>
          <w:cantSplit/>
          <w:tblHeader/>
        </w:trPr>
        <w:tc>
          <w:tcPr>
            <w:tcW w:w="1286" w:type="pct"/>
            <w:tcBorders>
              <w:top w:val="single" w:sz="2" w:space="0" w:color="auto"/>
              <w:left w:val="single" w:sz="2" w:space="0" w:color="auto"/>
              <w:bottom w:val="single" w:sz="6" w:space="0" w:color="808080"/>
              <w:right w:val="single" w:sz="2" w:space="0" w:color="auto"/>
            </w:tcBorders>
            <w:tcMar>
              <w:top w:w="120" w:type="dxa"/>
              <w:left w:w="120" w:type="dxa"/>
              <w:bottom w:w="120" w:type="dxa"/>
              <w:right w:w="120" w:type="dxa"/>
            </w:tcMar>
          </w:tcPr>
          <w:p w:rsidR="00AC39EF" w:rsidRPr="00047CF3" w:rsidRDefault="00CC0B85" w:rsidP="0019107A">
            <w:pPr>
              <w:jc w:val="left"/>
              <w:rPr>
                <w:rFonts w:ascii="Arial" w:hAnsi="Arial" w:cs="Arial"/>
                <w:sz w:val="19"/>
                <w:szCs w:val="19"/>
                <w:lang w:eastAsia="en-NZ"/>
              </w:rPr>
            </w:pPr>
            <w:hyperlink r:id="rId41" w:history="1">
              <w:proofErr w:type="spellStart"/>
              <w:r w:rsidR="00AC39EF" w:rsidRPr="00047CF3">
                <w:rPr>
                  <w:rFonts w:ascii="Arial" w:hAnsi="Arial" w:cs="Arial"/>
                  <w:sz w:val="19"/>
                  <w:szCs w:val="19"/>
                  <w:lang w:eastAsia="en-NZ"/>
                </w:rPr>
                <w:t>Omarunui</w:t>
              </w:r>
              <w:proofErr w:type="spellEnd"/>
              <w:r w:rsidR="00AC39EF" w:rsidRPr="00047CF3">
                <w:rPr>
                  <w:rFonts w:ascii="Arial" w:hAnsi="Arial" w:cs="Arial"/>
                  <w:sz w:val="19"/>
                  <w:szCs w:val="19"/>
                  <w:lang w:eastAsia="en-NZ"/>
                </w:rPr>
                <w:t xml:space="preserve"> Landfill</w:t>
              </w:r>
            </w:hyperlink>
          </w:p>
        </w:tc>
        <w:tc>
          <w:tcPr>
            <w:tcW w:w="1020" w:type="pct"/>
            <w:tcBorders>
              <w:top w:val="single" w:sz="2" w:space="0" w:color="auto"/>
              <w:left w:val="single" w:sz="2" w:space="0" w:color="auto"/>
              <w:bottom w:val="single" w:sz="6" w:space="0" w:color="808080"/>
              <w:right w:val="single" w:sz="2" w:space="0" w:color="auto"/>
            </w:tcBorders>
            <w:tcMar>
              <w:top w:w="120" w:type="dxa"/>
              <w:left w:w="120" w:type="dxa"/>
              <w:bottom w:w="120" w:type="dxa"/>
              <w:right w:w="120" w:type="dxa"/>
            </w:tcMar>
          </w:tcPr>
          <w:p w:rsidR="00AC39EF" w:rsidRPr="00047CF3" w:rsidRDefault="00AC39EF" w:rsidP="0019107A">
            <w:pPr>
              <w:jc w:val="left"/>
              <w:rPr>
                <w:rFonts w:ascii="Arial" w:hAnsi="Arial" w:cs="Arial"/>
                <w:sz w:val="19"/>
                <w:szCs w:val="19"/>
                <w:lang w:eastAsia="en-NZ"/>
              </w:rPr>
            </w:pPr>
            <w:r w:rsidRPr="00047CF3">
              <w:rPr>
                <w:rFonts w:ascii="Arial" w:hAnsi="Arial" w:cs="Arial"/>
                <w:sz w:val="19"/>
                <w:szCs w:val="19"/>
                <w:lang w:eastAsia="en-NZ"/>
              </w:rPr>
              <w:t>Hastings</w:t>
            </w:r>
          </w:p>
        </w:tc>
        <w:tc>
          <w:tcPr>
            <w:tcW w:w="1394" w:type="pct"/>
            <w:tcBorders>
              <w:top w:val="single" w:sz="2" w:space="0" w:color="auto"/>
              <w:left w:val="single" w:sz="2" w:space="0" w:color="auto"/>
              <w:bottom w:val="single" w:sz="6" w:space="0" w:color="808080"/>
              <w:right w:val="single" w:sz="2" w:space="0" w:color="auto"/>
            </w:tcBorders>
            <w:tcMar>
              <w:top w:w="120" w:type="dxa"/>
              <w:left w:w="120" w:type="dxa"/>
              <w:bottom w:w="120" w:type="dxa"/>
              <w:right w:w="120" w:type="dxa"/>
            </w:tcMar>
          </w:tcPr>
          <w:p w:rsidR="00AC39EF" w:rsidRPr="00047CF3" w:rsidRDefault="00AC39EF" w:rsidP="0019107A">
            <w:pPr>
              <w:jc w:val="left"/>
              <w:rPr>
                <w:rFonts w:ascii="Arial" w:hAnsi="Arial" w:cs="Arial"/>
                <w:sz w:val="19"/>
                <w:szCs w:val="19"/>
                <w:lang w:eastAsia="en-NZ"/>
              </w:rPr>
            </w:pPr>
          </w:p>
        </w:tc>
        <w:tc>
          <w:tcPr>
            <w:tcW w:w="1300" w:type="pct"/>
            <w:tcBorders>
              <w:top w:val="single" w:sz="2" w:space="0" w:color="auto"/>
              <w:left w:val="single" w:sz="2" w:space="0" w:color="auto"/>
              <w:bottom w:val="single" w:sz="6" w:space="0" w:color="808080"/>
              <w:right w:val="single" w:sz="2" w:space="0" w:color="auto"/>
            </w:tcBorders>
            <w:tcMar>
              <w:top w:w="120" w:type="dxa"/>
              <w:left w:w="120" w:type="dxa"/>
              <w:bottom w:w="120" w:type="dxa"/>
              <w:right w:w="120" w:type="dxa"/>
            </w:tcMar>
          </w:tcPr>
          <w:p w:rsidR="00AC39EF" w:rsidRPr="00047CF3" w:rsidRDefault="00AC39EF" w:rsidP="0019107A">
            <w:pPr>
              <w:jc w:val="left"/>
              <w:rPr>
                <w:rFonts w:ascii="Arial" w:hAnsi="Arial" w:cs="Arial"/>
                <w:sz w:val="19"/>
                <w:szCs w:val="19"/>
                <w:lang w:eastAsia="en-NZ"/>
              </w:rPr>
            </w:pPr>
            <w:r w:rsidRPr="00047CF3">
              <w:rPr>
                <w:rFonts w:ascii="Arial" w:hAnsi="Arial" w:cs="Arial"/>
                <w:sz w:val="19"/>
                <w:szCs w:val="19"/>
                <w:lang w:eastAsia="en-NZ"/>
              </w:rPr>
              <w:t>Yes</w:t>
            </w:r>
          </w:p>
        </w:tc>
      </w:tr>
      <w:tr w:rsidR="00AC39EF" w:rsidRPr="00AC39EF" w:rsidTr="002D128C">
        <w:trPr>
          <w:cantSplit/>
          <w:tblHeader/>
        </w:trPr>
        <w:tc>
          <w:tcPr>
            <w:tcW w:w="1286" w:type="pct"/>
            <w:tcBorders>
              <w:top w:val="single" w:sz="2" w:space="0" w:color="auto"/>
              <w:left w:val="single" w:sz="2" w:space="0" w:color="auto"/>
              <w:bottom w:val="single" w:sz="6" w:space="0" w:color="808080"/>
              <w:right w:val="single" w:sz="2" w:space="0" w:color="auto"/>
            </w:tcBorders>
            <w:tcMar>
              <w:top w:w="120" w:type="dxa"/>
              <w:left w:w="120" w:type="dxa"/>
              <w:bottom w:w="120" w:type="dxa"/>
              <w:right w:w="120" w:type="dxa"/>
            </w:tcMar>
          </w:tcPr>
          <w:p w:rsidR="00AC39EF" w:rsidRPr="00047CF3" w:rsidRDefault="00CC0B85" w:rsidP="0019107A">
            <w:pPr>
              <w:jc w:val="left"/>
              <w:rPr>
                <w:rFonts w:ascii="Arial" w:hAnsi="Arial" w:cs="Arial"/>
                <w:sz w:val="19"/>
                <w:szCs w:val="19"/>
                <w:lang w:eastAsia="en-NZ"/>
              </w:rPr>
            </w:pPr>
            <w:hyperlink r:id="rId42" w:history="1">
              <w:r w:rsidR="00AC39EF" w:rsidRPr="00047CF3">
                <w:rPr>
                  <w:rFonts w:ascii="Arial" w:hAnsi="Arial" w:cs="Arial"/>
                  <w:sz w:val="19"/>
                  <w:szCs w:val="19"/>
                  <w:lang w:eastAsia="en-NZ"/>
                </w:rPr>
                <w:t>Waitomo District Landfill</w:t>
              </w:r>
            </w:hyperlink>
          </w:p>
        </w:tc>
        <w:tc>
          <w:tcPr>
            <w:tcW w:w="1020" w:type="pct"/>
            <w:tcBorders>
              <w:top w:val="single" w:sz="2" w:space="0" w:color="auto"/>
              <w:left w:val="single" w:sz="2" w:space="0" w:color="auto"/>
              <w:bottom w:val="single" w:sz="6" w:space="0" w:color="808080"/>
              <w:right w:val="single" w:sz="2" w:space="0" w:color="auto"/>
            </w:tcBorders>
            <w:tcMar>
              <w:top w:w="120" w:type="dxa"/>
              <w:left w:w="120" w:type="dxa"/>
              <w:bottom w:w="120" w:type="dxa"/>
              <w:right w:w="120" w:type="dxa"/>
            </w:tcMar>
          </w:tcPr>
          <w:p w:rsidR="00AC39EF" w:rsidRPr="00047CF3" w:rsidRDefault="00AC39EF" w:rsidP="0019107A">
            <w:pPr>
              <w:jc w:val="left"/>
              <w:rPr>
                <w:rFonts w:ascii="Arial" w:hAnsi="Arial" w:cs="Arial"/>
                <w:sz w:val="19"/>
                <w:szCs w:val="19"/>
                <w:lang w:eastAsia="en-NZ"/>
              </w:rPr>
            </w:pPr>
            <w:proofErr w:type="spellStart"/>
            <w:r w:rsidRPr="00047CF3">
              <w:rPr>
                <w:rFonts w:ascii="Arial" w:hAnsi="Arial" w:cs="Arial"/>
                <w:sz w:val="19"/>
                <w:szCs w:val="19"/>
                <w:lang w:eastAsia="en-NZ"/>
              </w:rPr>
              <w:t>Te</w:t>
            </w:r>
            <w:proofErr w:type="spellEnd"/>
            <w:r w:rsidRPr="00047CF3">
              <w:rPr>
                <w:rFonts w:ascii="Arial" w:hAnsi="Arial" w:cs="Arial"/>
                <w:sz w:val="19"/>
                <w:szCs w:val="19"/>
                <w:lang w:eastAsia="en-NZ"/>
              </w:rPr>
              <w:t xml:space="preserve"> </w:t>
            </w:r>
            <w:proofErr w:type="spellStart"/>
            <w:r w:rsidRPr="00047CF3">
              <w:rPr>
                <w:rFonts w:ascii="Arial" w:hAnsi="Arial" w:cs="Arial"/>
                <w:sz w:val="19"/>
                <w:szCs w:val="19"/>
                <w:lang w:eastAsia="en-NZ"/>
              </w:rPr>
              <w:t>Kuiti</w:t>
            </w:r>
            <w:proofErr w:type="spellEnd"/>
          </w:p>
        </w:tc>
        <w:tc>
          <w:tcPr>
            <w:tcW w:w="1394" w:type="pct"/>
            <w:tcBorders>
              <w:top w:val="single" w:sz="2" w:space="0" w:color="auto"/>
              <w:left w:val="single" w:sz="2" w:space="0" w:color="auto"/>
              <w:bottom w:val="single" w:sz="6" w:space="0" w:color="808080"/>
              <w:right w:val="single" w:sz="2" w:space="0" w:color="auto"/>
            </w:tcBorders>
            <w:tcMar>
              <w:top w:w="120" w:type="dxa"/>
              <w:left w:w="120" w:type="dxa"/>
              <w:bottom w:w="120" w:type="dxa"/>
              <w:right w:w="120" w:type="dxa"/>
            </w:tcMar>
          </w:tcPr>
          <w:p w:rsidR="00AC39EF" w:rsidRPr="00047CF3" w:rsidRDefault="00AC39EF" w:rsidP="0019107A">
            <w:pPr>
              <w:jc w:val="left"/>
              <w:rPr>
                <w:rFonts w:ascii="Arial" w:hAnsi="Arial" w:cs="Arial"/>
                <w:sz w:val="19"/>
                <w:szCs w:val="19"/>
                <w:lang w:eastAsia="en-NZ"/>
              </w:rPr>
            </w:pPr>
            <w:r w:rsidRPr="00047CF3">
              <w:rPr>
                <w:rFonts w:ascii="Arial" w:hAnsi="Arial" w:cs="Arial"/>
                <w:sz w:val="19"/>
                <w:szCs w:val="19"/>
                <w:lang w:eastAsia="en-NZ"/>
              </w:rPr>
              <w:t>No</w:t>
            </w:r>
          </w:p>
        </w:tc>
        <w:tc>
          <w:tcPr>
            <w:tcW w:w="1300" w:type="pct"/>
            <w:tcBorders>
              <w:top w:val="single" w:sz="2" w:space="0" w:color="auto"/>
              <w:left w:val="single" w:sz="2" w:space="0" w:color="auto"/>
              <w:bottom w:val="single" w:sz="6" w:space="0" w:color="808080"/>
              <w:right w:val="single" w:sz="2" w:space="0" w:color="auto"/>
            </w:tcBorders>
            <w:tcMar>
              <w:top w:w="120" w:type="dxa"/>
              <w:left w:w="120" w:type="dxa"/>
              <w:bottom w:w="120" w:type="dxa"/>
              <w:right w:w="120" w:type="dxa"/>
            </w:tcMar>
          </w:tcPr>
          <w:p w:rsidR="00AC39EF" w:rsidRPr="00047CF3" w:rsidRDefault="00AC39EF" w:rsidP="0019107A">
            <w:pPr>
              <w:jc w:val="left"/>
              <w:rPr>
                <w:rFonts w:ascii="Arial" w:hAnsi="Arial" w:cs="Arial"/>
                <w:sz w:val="19"/>
                <w:szCs w:val="19"/>
                <w:lang w:eastAsia="en-NZ"/>
              </w:rPr>
            </w:pPr>
          </w:p>
        </w:tc>
      </w:tr>
      <w:tr w:rsidR="00AC39EF" w:rsidRPr="00AC39EF" w:rsidTr="002D128C">
        <w:trPr>
          <w:cantSplit/>
          <w:tblHeader/>
        </w:trPr>
        <w:tc>
          <w:tcPr>
            <w:tcW w:w="1286" w:type="pct"/>
            <w:tcBorders>
              <w:top w:val="single" w:sz="2" w:space="0" w:color="auto"/>
              <w:left w:val="single" w:sz="2" w:space="0" w:color="auto"/>
              <w:bottom w:val="single" w:sz="6" w:space="0" w:color="808080"/>
              <w:right w:val="single" w:sz="2" w:space="0" w:color="auto"/>
            </w:tcBorders>
            <w:tcMar>
              <w:top w:w="120" w:type="dxa"/>
              <w:left w:w="120" w:type="dxa"/>
              <w:bottom w:w="120" w:type="dxa"/>
              <w:right w:w="120" w:type="dxa"/>
            </w:tcMar>
          </w:tcPr>
          <w:p w:rsidR="00AC39EF" w:rsidRPr="00047CF3" w:rsidRDefault="00CC0B85" w:rsidP="0019107A">
            <w:pPr>
              <w:jc w:val="left"/>
              <w:rPr>
                <w:rFonts w:ascii="Arial" w:hAnsi="Arial" w:cs="Arial"/>
                <w:sz w:val="19"/>
                <w:szCs w:val="19"/>
                <w:lang w:eastAsia="en-NZ"/>
              </w:rPr>
            </w:pPr>
            <w:hyperlink r:id="rId43" w:history="1">
              <w:r w:rsidR="00AC39EF" w:rsidRPr="00047CF3">
                <w:rPr>
                  <w:rFonts w:ascii="Arial" w:hAnsi="Arial" w:cs="Arial"/>
                  <w:sz w:val="19"/>
                  <w:szCs w:val="19"/>
                  <w:lang w:eastAsia="en-NZ"/>
                </w:rPr>
                <w:t>Colson Road Landfill</w:t>
              </w:r>
            </w:hyperlink>
          </w:p>
        </w:tc>
        <w:tc>
          <w:tcPr>
            <w:tcW w:w="1020" w:type="pct"/>
            <w:tcBorders>
              <w:top w:val="single" w:sz="2" w:space="0" w:color="auto"/>
              <w:left w:val="single" w:sz="2" w:space="0" w:color="auto"/>
              <w:bottom w:val="single" w:sz="6" w:space="0" w:color="808080"/>
              <w:right w:val="single" w:sz="2" w:space="0" w:color="auto"/>
            </w:tcBorders>
            <w:tcMar>
              <w:top w:w="120" w:type="dxa"/>
              <w:left w:w="120" w:type="dxa"/>
              <w:bottom w:w="120" w:type="dxa"/>
              <w:right w:w="120" w:type="dxa"/>
            </w:tcMar>
          </w:tcPr>
          <w:p w:rsidR="00AC39EF" w:rsidRPr="00047CF3" w:rsidRDefault="00AC39EF" w:rsidP="0019107A">
            <w:pPr>
              <w:jc w:val="left"/>
              <w:rPr>
                <w:rFonts w:ascii="Arial" w:hAnsi="Arial" w:cs="Arial"/>
                <w:sz w:val="19"/>
                <w:szCs w:val="19"/>
                <w:lang w:eastAsia="en-NZ"/>
              </w:rPr>
            </w:pPr>
            <w:r w:rsidRPr="00047CF3">
              <w:rPr>
                <w:rFonts w:ascii="Arial" w:hAnsi="Arial" w:cs="Arial"/>
                <w:sz w:val="19"/>
                <w:szCs w:val="19"/>
                <w:lang w:eastAsia="en-NZ"/>
              </w:rPr>
              <w:t>New Plymouth</w:t>
            </w:r>
          </w:p>
        </w:tc>
        <w:tc>
          <w:tcPr>
            <w:tcW w:w="1394" w:type="pct"/>
            <w:tcBorders>
              <w:top w:val="single" w:sz="2" w:space="0" w:color="auto"/>
              <w:left w:val="single" w:sz="2" w:space="0" w:color="auto"/>
              <w:bottom w:val="single" w:sz="6" w:space="0" w:color="808080"/>
              <w:right w:val="single" w:sz="2" w:space="0" w:color="auto"/>
            </w:tcBorders>
            <w:tcMar>
              <w:top w:w="120" w:type="dxa"/>
              <w:left w:w="120" w:type="dxa"/>
              <w:bottom w:w="120" w:type="dxa"/>
              <w:right w:w="120" w:type="dxa"/>
            </w:tcMar>
          </w:tcPr>
          <w:p w:rsidR="00AC39EF" w:rsidRPr="00047CF3" w:rsidRDefault="00AC39EF" w:rsidP="0019107A">
            <w:pPr>
              <w:jc w:val="left"/>
              <w:rPr>
                <w:rFonts w:ascii="Arial" w:hAnsi="Arial" w:cs="Arial"/>
                <w:sz w:val="19"/>
                <w:szCs w:val="19"/>
                <w:lang w:eastAsia="en-NZ"/>
              </w:rPr>
            </w:pPr>
            <w:r w:rsidRPr="00047CF3">
              <w:rPr>
                <w:rFonts w:ascii="Arial" w:hAnsi="Arial" w:cs="Arial"/>
                <w:sz w:val="19"/>
                <w:szCs w:val="19"/>
                <w:lang w:eastAsia="en-NZ"/>
              </w:rPr>
              <w:t>No</w:t>
            </w:r>
          </w:p>
        </w:tc>
        <w:tc>
          <w:tcPr>
            <w:tcW w:w="1300" w:type="pct"/>
            <w:tcBorders>
              <w:top w:val="single" w:sz="2" w:space="0" w:color="auto"/>
              <w:left w:val="single" w:sz="2" w:space="0" w:color="auto"/>
              <w:bottom w:val="single" w:sz="6" w:space="0" w:color="808080"/>
              <w:right w:val="single" w:sz="2" w:space="0" w:color="auto"/>
            </w:tcBorders>
            <w:tcMar>
              <w:top w:w="120" w:type="dxa"/>
              <w:left w:w="120" w:type="dxa"/>
              <w:bottom w:w="120" w:type="dxa"/>
              <w:right w:w="120" w:type="dxa"/>
            </w:tcMar>
          </w:tcPr>
          <w:p w:rsidR="00AC39EF" w:rsidRPr="00047CF3" w:rsidRDefault="00AC39EF" w:rsidP="0019107A">
            <w:pPr>
              <w:jc w:val="left"/>
              <w:rPr>
                <w:rFonts w:ascii="Arial" w:hAnsi="Arial" w:cs="Arial"/>
                <w:sz w:val="19"/>
                <w:szCs w:val="19"/>
                <w:lang w:eastAsia="en-NZ"/>
              </w:rPr>
            </w:pPr>
          </w:p>
        </w:tc>
      </w:tr>
      <w:tr w:rsidR="00AC39EF" w:rsidRPr="00AC39EF" w:rsidTr="002D128C">
        <w:trPr>
          <w:cantSplit/>
          <w:tblHeader/>
        </w:trPr>
        <w:tc>
          <w:tcPr>
            <w:tcW w:w="1286" w:type="pct"/>
            <w:tcBorders>
              <w:top w:val="single" w:sz="2" w:space="0" w:color="auto"/>
              <w:left w:val="single" w:sz="2" w:space="0" w:color="auto"/>
              <w:bottom w:val="single" w:sz="6" w:space="0" w:color="808080"/>
              <w:right w:val="single" w:sz="2" w:space="0" w:color="auto"/>
            </w:tcBorders>
            <w:tcMar>
              <w:top w:w="120" w:type="dxa"/>
              <w:left w:w="120" w:type="dxa"/>
              <w:bottom w:w="120" w:type="dxa"/>
              <w:right w:w="120" w:type="dxa"/>
            </w:tcMar>
          </w:tcPr>
          <w:p w:rsidR="00AC39EF" w:rsidRPr="00047CF3" w:rsidRDefault="00CC0B85" w:rsidP="0019107A">
            <w:pPr>
              <w:jc w:val="left"/>
              <w:rPr>
                <w:rFonts w:ascii="Arial" w:hAnsi="Arial" w:cs="Arial"/>
                <w:sz w:val="19"/>
                <w:szCs w:val="19"/>
                <w:lang w:eastAsia="en-NZ"/>
              </w:rPr>
            </w:pPr>
            <w:hyperlink r:id="rId44" w:history="1">
              <w:proofErr w:type="spellStart"/>
              <w:r w:rsidR="00AC39EF" w:rsidRPr="00047CF3">
                <w:rPr>
                  <w:rFonts w:ascii="Arial" w:hAnsi="Arial" w:cs="Arial"/>
                  <w:sz w:val="19"/>
                  <w:szCs w:val="19"/>
                  <w:lang w:eastAsia="en-NZ"/>
                </w:rPr>
                <w:t>Tokoroa</w:t>
              </w:r>
              <w:proofErr w:type="spellEnd"/>
              <w:r w:rsidR="00AC39EF" w:rsidRPr="00047CF3">
                <w:rPr>
                  <w:rFonts w:ascii="Arial" w:hAnsi="Arial" w:cs="Arial"/>
                  <w:sz w:val="19"/>
                  <w:szCs w:val="19"/>
                  <w:lang w:eastAsia="en-NZ"/>
                </w:rPr>
                <w:t xml:space="preserve"> Landfill</w:t>
              </w:r>
            </w:hyperlink>
          </w:p>
        </w:tc>
        <w:tc>
          <w:tcPr>
            <w:tcW w:w="1020" w:type="pct"/>
            <w:tcBorders>
              <w:top w:val="single" w:sz="2" w:space="0" w:color="auto"/>
              <w:left w:val="single" w:sz="2" w:space="0" w:color="auto"/>
              <w:bottom w:val="single" w:sz="6" w:space="0" w:color="808080"/>
              <w:right w:val="single" w:sz="2" w:space="0" w:color="auto"/>
            </w:tcBorders>
            <w:tcMar>
              <w:top w:w="120" w:type="dxa"/>
              <w:left w:w="120" w:type="dxa"/>
              <w:bottom w:w="120" w:type="dxa"/>
              <w:right w:w="120" w:type="dxa"/>
            </w:tcMar>
          </w:tcPr>
          <w:p w:rsidR="00AC39EF" w:rsidRPr="00047CF3" w:rsidRDefault="00AC39EF" w:rsidP="0019107A">
            <w:pPr>
              <w:jc w:val="left"/>
              <w:rPr>
                <w:rFonts w:ascii="Arial" w:hAnsi="Arial" w:cs="Arial"/>
                <w:sz w:val="19"/>
                <w:szCs w:val="19"/>
                <w:lang w:eastAsia="en-NZ"/>
              </w:rPr>
            </w:pPr>
            <w:proofErr w:type="spellStart"/>
            <w:r w:rsidRPr="00047CF3">
              <w:rPr>
                <w:rFonts w:ascii="Arial" w:hAnsi="Arial" w:cs="Arial"/>
                <w:sz w:val="19"/>
                <w:szCs w:val="19"/>
                <w:lang w:eastAsia="en-NZ"/>
              </w:rPr>
              <w:t>Tokoroa</w:t>
            </w:r>
            <w:proofErr w:type="spellEnd"/>
          </w:p>
        </w:tc>
        <w:tc>
          <w:tcPr>
            <w:tcW w:w="1394" w:type="pct"/>
            <w:tcBorders>
              <w:top w:val="single" w:sz="2" w:space="0" w:color="auto"/>
              <w:left w:val="single" w:sz="2" w:space="0" w:color="auto"/>
              <w:bottom w:val="single" w:sz="6" w:space="0" w:color="808080"/>
              <w:right w:val="single" w:sz="2" w:space="0" w:color="auto"/>
            </w:tcBorders>
            <w:tcMar>
              <w:top w:w="120" w:type="dxa"/>
              <w:left w:w="120" w:type="dxa"/>
              <w:bottom w:w="120" w:type="dxa"/>
              <w:right w:w="120" w:type="dxa"/>
            </w:tcMar>
          </w:tcPr>
          <w:p w:rsidR="00AC39EF" w:rsidRPr="00047CF3" w:rsidRDefault="00AC39EF" w:rsidP="0019107A">
            <w:pPr>
              <w:jc w:val="left"/>
              <w:rPr>
                <w:rFonts w:ascii="Arial" w:hAnsi="Arial" w:cs="Arial"/>
                <w:sz w:val="19"/>
                <w:szCs w:val="19"/>
                <w:lang w:eastAsia="en-NZ"/>
              </w:rPr>
            </w:pPr>
            <w:r w:rsidRPr="00047CF3">
              <w:rPr>
                <w:rFonts w:ascii="Arial" w:hAnsi="Arial" w:cs="Arial"/>
                <w:sz w:val="19"/>
                <w:szCs w:val="19"/>
                <w:lang w:eastAsia="en-NZ"/>
              </w:rPr>
              <w:t>No</w:t>
            </w:r>
          </w:p>
        </w:tc>
        <w:tc>
          <w:tcPr>
            <w:tcW w:w="1300" w:type="pct"/>
            <w:tcBorders>
              <w:top w:val="single" w:sz="2" w:space="0" w:color="auto"/>
              <w:left w:val="single" w:sz="2" w:space="0" w:color="auto"/>
              <w:bottom w:val="single" w:sz="6" w:space="0" w:color="808080"/>
              <w:right w:val="single" w:sz="2" w:space="0" w:color="auto"/>
            </w:tcBorders>
            <w:tcMar>
              <w:top w:w="120" w:type="dxa"/>
              <w:left w:w="120" w:type="dxa"/>
              <w:bottom w:w="120" w:type="dxa"/>
              <w:right w:w="120" w:type="dxa"/>
            </w:tcMar>
          </w:tcPr>
          <w:p w:rsidR="00AC39EF" w:rsidRPr="00047CF3" w:rsidRDefault="00AC39EF" w:rsidP="0019107A">
            <w:pPr>
              <w:jc w:val="left"/>
              <w:rPr>
                <w:rFonts w:ascii="Arial" w:hAnsi="Arial" w:cs="Arial"/>
                <w:sz w:val="19"/>
                <w:szCs w:val="19"/>
                <w:lang w:eastAsia="en-NZ"/>
              </w:rPr>
            </w:pPr>
          </w:p>
        </w:tc>
      </w:tr>
      <w:tr w:rsidR="00AC39EF" w:rsidRPr="00AC39EF" w:rsidTr="002D128C">
        <w:trPr>
          <w:cantSplit/>
          <w:tblHeader/>
        </w:trPr>
        <w:tc>
          <w:tcPr>
            <w:tcW w:w="1286" w:type="pct"/>
            <w:tcBorders>
              <w:top w:val="single" w:sz="2" w:space="0" w:color="auto"/>
              <w:left w:val="single" w:sz="2" w:space="0" w:color="auto"/>
              <w:bottom w:val="single" w:sz="6" w:space="0" w:color="808080"/>
              <w:right w:val="single" w:sz="2" w:space="0" w:color="auto"/>
            </w:tcBorders>
            <w:tcMar>
              <w:top w:w="120" w:type="dxa"/>
              <w:left w:w="120" w:type="dxa"/>
              <w:bottom w:w="120" w:type="dxa"/>
              <w:right w:w="120" w:type="dxa"/>
            </w:tcMar>
          </w:tcPr>
          <w:p w:rsidR="00AC39EF" w:rsidRPr="00047CF3" w:rsidRDefault="00CC0B85" w:rsidP="0019107A">
            <w:pPr>
              <w:jc w:val="left"/>
              <w:rPr>
                <w:rFonts w:ascii="Arial" w:hAnsi="Arial" w:cs="Arial"/>
                <w:sz w:val="19"/>
                <w:szCs w:val="19"/>
                <w:lang w:eastAsia="en-NZ"/>
              </w:rPr>
            </w:pPr>
            <w:hyperlink r:id="rId45" w:history="1">
              <w:r w:rsidR="00AC39EF" w:rsidRPr="00047CF3">
                <w:rPr>
                  <w:rFonts w:ascii="Arial" w:hAnsi="Arial" w:cs="Arial"/>
                  <w:sz w:val="19"/>
                  <w:szCs w:val="19"/>
                  <w:lang w:eastAsia="en-NZ"/>
                </w:rPr>
                <w:t>Broadlands Road Landfill</w:t>
              </w:r>
            </w:hyperlink>
          </w:p>
        </w:tc>
        <w:tc>
          <w:tcPr>
            <w:tcW w:w="1020" w:type="pct"/>
            <w:tcBorders>
              <w:top w:val="single" w:sz="2" w:space="0" w:color="auto"/>
              <w:left w:val="single" w:sz="2" w:space="0" w:color="auto"/>
              <w:bottom w:val="single" w:sz="6" w:space="0" w:color="808080"/>
              <w:right w:val="single" w:sz="2" w:space="0" w:color="auto"/>
            </w:tcBorders>
            <w:tcMar>
              <w:top w:w="120" w:type="dxa"/>
              <w:left w:w="120" w:type="dxa"/>
              <w:bottom w:w="120" w:type="dxa"/>
              <w:right w:w="120" w:type="dxa"/>
            </w:tcMar>
          </w:tcPr>
          <w:p w:rsidR="00AC39EF" w:rsidRPr="00047CF3" w:rsidRDefault="00AC39EF" w:rsidP="0019107A">
            <w:pPr>
              <w:jc w:val="left"/>
              <w:rPr>
                <w:rFonts w:ascii="Arial" w:hAnsi="Arial" w:cs="Arial"/>
                <w:sz w:val="19"/>
                <w:szCs w:val="19"/>
                <w:lang w:eastAsia="en-NZ"/>
              </w:rPr>
            </w:pPr>
            <w:proofErr w:type="spellStart"/>
            <w:r w:rsidRPr="00047CF3">
              <w:rPr>
                <w:rFonts w:ascii="Arial" w:hAnsi="Arial" w:cs="Arial"/>
                <w:sz w:val="19"/>
                <w:szCs w:val="19"/>
                <w:lang w:eastAsia="en-NZ"/>
              </w:rPr>
              <w:t>Taupo</w:t>
            </w:r>
            <w:proofErr w:type="spellEnd"/>
          </w:p>
        </w:tc>
        <w:tc>
          <w:tcPr>
            <w:tcW w:w="1394" w:type="pct"/>
            <w:tcBorders>
              <w:top w:val="single" w:sz="2" w:space="0" w:color="auto"/>
              <w:left w:val="single" w:sz="2" w:space="0" w:color="auto"/>
              <w:bottom w:val="single" w:sz="6" w:space="0" w:color="808080"/>
              <w:right w:val="single" w:sz="2" w:space="0" w:color="auto"/>
            </w:tcBorders>
            <w:tcMar>
              <w:top w:w="120" w:type="dxa"/>
              <w:left w:w="120" w:type="dxa"/>
              <w:bottom w:w="120" w:type="dxa"/>
              <w:right w:w="120" w:type="dxa"/>
            </w:tcMar>
          </w:tcPr>
          <w:p w:rsidR="00AC39EF" w:rsidRPr="00047CF3" w:rsidRDefault="00AC39EF" w:rsidP="0019107A">
            <w:pPr>
              <w:jc w:val="left"/>
              <w:rPr>
                <w:rFonts w:ascii="Arial" w:hAnsi="Arial" w:cs="Arial"/>
                <w:sz w:val="19"/>
                <w:szCs w:val="19"/>
                <w:lang w:eastAsia="en-NZ"/>
              </w:rPr>
            </w:pPr>
            <w:r w:rsidRPr="00047CF3">
              <w:rPr>
                <w:rFonts w:ascii="Arial" w:hAnsi="Arial" w:cs="Arial"/>
                <w:sz w:val="19"/>
                <w:szCs w:val="19"/>
                <w:lang w:eastAsia="en-NZ"/>
              </w:rPr>
              <w:t>No</w:t>
            </w:r>
          </w:p>
        </w:tc>
        <w:tc>
          <w:tcPr>
            <w:tcW w:w="1300" w:type="pct"/>
            <w:tcBorders>
              <w:top w:val="single" w:sz="2" w:space="0" w:color="auto"/>
              <w:left w:val="single" w:sz="2" w:space="0" w:color="auto"/>
              <w:bottom w:val="single" w:sz="6" w:space="0" w:color="808080"/>
              <w:right w:val="single" w:sz="2" w:space="0" w:color="auto"/>
            </w:tcBorders>
            <w:tcMar>
              <w:top w:w="120" w:type="dxa"/>
              <w:left w:w="120" w:type="dxa"/>
              <w:bottom w:w="120" w:type="dxa"/>
              <w:right w:w="120" w:type="dxa"/>
            </w:tcMar>
          </w:tcPr>
          <w:p w:rsidR="00AC39EF" w:rsidRPr="00047CF3" w:rsidRDefault="00AC39EF" w:rsidP="0019107A">
            <w:pPr>
              <w:jc w:val="left"/>
              <w:rPr>
                <w:rFonts w:ascii="Arial" w:hAnsi="Arial" w:cs="Arial"/>
                <w:sz w:val="19"/>
                <w:szCs w:val="19"/>
                <w:lang w:eastAsia="en-NZ"/>
              </w:rPr>
            </w:pPr>
          </w:p>
        </w:tc>
      </w:tr>
      <w:tr w:rsidR="00AC39EF" w:rsidRPr="00AC39EF" w:rsidTr="002D128C">
        <w:trPr>
          <w:cantSplit/>
          <w:tblHeader/>
        </w:trPr>
        <w:tc>
          <w:tcPr>
            <w:tcW w:w="1286" w:type="pct"/>
            <w:tcBorders>
              <w:top w:val="single" w:sz="2" w:space="0" w:color="auto"/>
              <w:left w:val="single" w:sz="2" w:space="0" w:color="auto"/>
              <w:bottom w:val="single" w:sz="6" w:space="0" w:color="808080"/>
              <w:right w:val="single" w:sz="2" w:space="0" w:color="auto"/>
            </w:tcBorders>
            <w:tcMar>
              <w:top w:w="120" w:type="dxa"/>
              <w:left w:w="120" w:type="dxa"/>
              <w:bottom w:w="120" w:type="dxa"/>
              <w:right w:w="120" w:type="dxa"/>
            </w:tcMar>
          </w:tcPr>
          <w:p w:rsidR="00AC39EF" w:rsidRPr="00047CF3" w:rsidRDefault="00CC0B85" w:rsidP="0019107A">
            <w:pPr>
              <w:jc w:val="left"/>
              <w:rPr>
                <w:rFonts w:ascii="Arial" w:hAnsi="Arial" w:cs="Arial"/>
                <w:sz w:val="19"/>
                <w:szCs w:val="19"/>
                <w:lang w:eastAsia="en-NZ"/>
              </w:rPr>
            </w:pPr>
            <w:hyperlink r:id="rId46" w:history="1">
              <w:proofErr w:type="spellStart"/>
              <w:r w:rsidR="00AC39EF" w:rsidRPr="00047CF3">
                <w:rPr>
                  <w:rFonts w:ascii="Arial" w:hAnsi="Arial" w:cs="Arial"/>
                  <w:sz w:val="19"/>
                  <w:szCs w:val="19"/>
                  <w:lang w:eastAsia="en-NZ"/>
                </w:rPr>
                <w:t>Rotorua</w:t>
              </w:r>
              <w:proofErr w:type="spellEnd"/>
              <w:r w:rsidR="00AC39EF" w:rsidRPr="00047CF3">
                <w:rPr>
                  <w:rFonts w:ascii="Arial" w:hAnsi="Arial" w:cs="Arial"/>
                  <w:sz w:val="19"/>
                  <w:szCs w:val="19"/>
                  <w:lang w:eastAsia="en-NZ"/>
                </w:rPr>
                <w:t xml:space="preserve"> District Sanitary Landfill</w:t>
              </w:r>
            </w:hyperlink>
          </w:p>
        </w:tc>
        <w:tc>
          <w:tcPr>
            <w:tcW w:w="1020" w:type="pct"/>
            <w:tcBorders>
              <w:top w:val="single" w:sz="2" w:space="0" w:color="auto"/>
              <w:left w:val="single" w:sz="2" w:space="0" w:color="auto"/>
              <w:bottom w:val="single" w:sz="6" w:space="0" w:color="808080"/>
              <w:right w:val="single" w:sz="2" w:space="0" w:color="auto"/>
            </w:tcBorders>
            <w:tcMar>
              <w:top w:w="120" w:type="dxa"/>
              <w:left w:w="120" w:type="dxa"/>
              <w:bottom w:w="120" w:type="dxa"/>
              <w:right w:w="120" w:type="dxa"/>
            </w:tcMar>
          </w:tcPr>
          <w:p w:rsidR="00AC39EF" w:rsidRPr="00047CF3" w:rsidRDefault="00AC39EF" w:rsidP="0019107A">
            <w:pPr>
              <w:jc w:val="left"/>
              <w:rPr>
                <w:rFonts w:ascii="Arial" w:hAnsi="Arial" w:cs="Arial"/>
                <w:sz w:val="19"/>
                <w:szCs w:val="19"/>
                <w:lang w:eastAsia="en-NZ"/>
              </w:rPr>
            </w:pPr>
            <w:proofErr w:type="spellStart"/>
            <w:r w:rsidRPr="00047CF3">
              <w:rPr>
                <w:rFonts w:ascii="Arial" w:hAnsi="Arial" w:cs="Arial"/>
                <w:sz w:val="19"/>
                <w:szCs w:val="19"/>
                <w:lang w:eastAsia="en-NZ"/>
              </w:rPr>
              <w:t>Rotorua</w:t>
            </w:r>
            <w:proofErr w:type="spellEnd"/>
          </w:p>
        </w:tc>
        <w:tc>
          <w:tcPr>
            <w:tcW w:w="1394" w:type="pct"/>
            <w:tcBorders>
              <w:top w:val="single" w:sz="2" w:space="0" w:color="auto"/>
              <w:left w:val="single" w:sz="2" w:space="0" w:color="auto"/>
              <w:bottom w:val="single" w:sz="6" w:space="0" w:color="808080"/>
              <w:right w:val="single" w:sz="2" w:space="0" w:color="auto"/>
            </w:tcBorders>
            <w:tcMar>
              <w:top w:w="120" w:type="dxa"/>
              <w:left w:w="120" w:type="dxa"/>
              <w:bottom w:w="120" w:type="dxa"/>
              <w:right w:w="120" w:type="dxa"/>
            </w:tcMar>
          </w:tcPr>
          <w:p w:rsidR="00AC39EF" w:rsidRPr="00047CF3" w:rsidRDefault="00AC39EF" w:rsidP="0019107A">
            <w:pPr>
              <w:jc w:val="left"/>
              <w:rPr>
                <w:rFonts w:ascii="Arial" w:hAnsi="Arial" w:cs="Arial"/>
                <w:sz w:val="19"/>
                <w:szCs w:val="19"/>
                <w:lang w:eastAsia="en-NZ"/>
              </w:rPr>
            </w:pPr>
            <w:r w:rsidRPr="00047CF3">
              <w:rPr>
                <w:rFonts w:ascii="Arial" w:hAnsi="Arial" w:cs="Arial"/>
                <w:sz w:val="19"/>
                <w:szCs w:val="19"/>
                <w:lang w:eastAsia="en-NZ"/>
              </w:rPr>
              <w:t>Yes</w:t>
            </w:r>
          </w:p>
        </w:tc>
        <w:tc>
          <w:tcPr>
            <w:tcW w:w="1300" w:type="pct"/>
            <w:tcBorders>
              <w:top w:val="single" w:sz="2" w:space="0" w:color="auto"/>
              <w:left w:val="single" w:sz="2" w:space="0" w:color="auto"/>
              <w:bottom w:val="single" w:sz="6" w:space="0" w:color="808080"/>
              <w:right w:val="single" w:sz="2" w:space="0" w:color="auto"/>
            </w:tcBorders>
            <w:tcMar>
              <w:top w:w="120" w:type="dxa"/>
              <w:left w:w="120" w:type="dxa"/>
              <w:bottom w:w="120" w:type="dxa"/>
              <w:right w:w="120" w:type="dxa"/>
            </w:tcMar>
          </w:tcPr>
          <w:p w:rsidR="00AC39EF" w:rsidRPr="00047CF3" w:rsidRDefault="00AC39EF" w:rsidP="0019107A">
            <w:pPr>
              <w:jc w:val="left"/>
              <w:rPr>
                <w:rFonts w:ascii="Arial" w:hAnsi="Arial" w:cs="Arial"/>
                <w:sz w:val="19"/>
                <w:szCs w:val="19"/>
                <w:lang w:eastAsia="en-NZ"/>
              </w:rPr>
            </w:pPr>
          </w:p>
        </w:tc>
      </w:tr>
      <w:tr w:rsidR="00AC39EF" w:rsidRPr="00AC39EF" w:rsidTr="002D128C">
        <w:trPr>
          <w:cantSplit/>
          <w:tblHeader/>
        </w:trPr>
        <w:tc>
          <w:tcPr>
            <w:tcW w:w="1286" w:type="pct"/>
            <w:tcBorders>
              <w:top w:val="single" w:sz="2" w:space="0" w:color="auto"/>
              <w:left w:val="single" w:sz="2" w:space="0" w:color="auto"/>
              <w:bottom w:val="single" w:sz="6" w:space="0" w:color="808080"/>
              <w:right w:val="single" w:sz="2" w:space="0" w:color="auto"/>
            </w:tcBorders>
            <w:tcMar>
              <w:top w:w="120" w:type="dxa"/>
              <w:left w:w="120" w:type="dxa"/>
              <w:bottom w:w="120" w:type="dxa"/>
              <w:right w:w="120" w:type="dxa"/>
            </w:tcMar>
          </w:tcPr>
          <w:p w:rsidR="00AC39EF" w:rsidRPr="00047CF3" w:rsidRDefault="00CC0B85" w:rsidP="0019107A">
            <w:pPr>
              <w:jc w:val="left"/>
              <w:rPr>
                <w:rFonts w:ascii="Arial" w:hAnsi="Arial" w:cs="Arial"/>
                <w:sz w:val="19"/>
                <w:szCs w:val="19"/>
                <w:lang w:eastAsia="en-NZ"/>
              </w:rPr>
            </w:pPr>
            <w:hyperlink r:id="rId47" w:history="1">
              <w:r w:rsidR="00AC39EF" w:rsidRPr="00047CF3">
                <w:rPr>
                  <w:rFonts w:ascii="Arial" w:hAnsi="Arial" w:cs="Arial"/>
                  <w:sz w:val="19"/>
                  <w:szCs w:val="19"/>
                  <w:lang w:eastAsia="en-NZ"/>
                </w:rPr>
                <w:t>Central Hawkes Bay District Landfill</w:t>
              </w:r>
            </w:hyperlink>
          </w:p>
        </w:tc>
        <w:tc>
          <w:tcPr>
            <w:tcW w:w="1020" w:type="pct"/>
            <w:tcBorders>
              <w:top w:val="single" w:sz="2" w:space="0" w:color="auto"/>
              <w:left w:val="single" w:sz="2" w:space="0" w:color="auto"/>
              <w:bottom w:val="single" w:sz="6" w:space="0" w:color="808080"/>
              <w:right w:val="single" w:sz="2" w:space="0" w:color="auto"/>
            </w:tcBorders>
            <w:tcMar>
              <w:top w:w="120" w:type="dxa"/>
              <w:left w:w="120" w:type="dxa"/>
              <w:bottom w:w="120" w:type="dxa"/>
              <w:right w:w="120" w:type="dxa"/>
            </w:tcMar>
          </w:tcPr>
          <w:p w:rsidR="00AC39EF" w:rsidRPr="00047CF3" w:rsidRDefault="00AC39EF" w:rsidP="0019107A">
            <w:pPr>
              <w:jc w:val="left"/>
              <w:rPr>
                <w:rFonts w:ascii="Arial" w:hAnsi="Arial" w:cs="Arial"/>
                <w:sz w:val="19"/>
                <w:szCs w:val="19"/>
                <w:lang w:eastAsia="en-NZ"/>
              </w:rPr>
            </w:pPr>
            <w:proofErr w:type="spellStart"/>
            <w:r w:rsidRPr="00047CF3">
              <w:rPr>
                <w:rFonts w:ascii="Arial" w:hAnsi="Arial" w:cs="Arial"/>
                <w:sz w:val="19"/>
                <w:szCs w:val="19"/>
                <w:lang w:eastAsia="en-NZ"/>
              </w:rPr>
              <w:t>Waipukurau</w:t>
            </w:r>
            <w:proofErr w:type="spellEnd"/>
          </w:p>
        </w:tc>
        <w:tc>
          <w:tcPr>
            <w:tcW w:w="1394" w:type="pct"/>
            <w:tcBorders>
              <w:top w:val="single" w:sz="2" w:space="0" w:color="auto"/>
              <w:left w:val="single" w:sz="2" w:space="0" w:color="auto"/>
              <w:bottom w:val="single" w:sz="6" w:space="0" w:color="808080"/>
              <w:right w:val="single" w:sz="2" w:space="0" w:color="auto"/>
            </w:tcBorders>
            <w:tcMar>
              <w:top w:w="120" w:type="dxa"/>
              <w:left w:w="120" w:type="dxa"/>
              <w:bottom w:w="120" w:type="dxa"/>
              <w:right w:w="120" w:type="dxa"/>
            </w:tcMar>
          </w:tcPr>
          <w:p w:rsidR="00AC39EF" w:rsidRPr="00047CF3" w:rsidRDefault="00AC39EF" w:rsidP="0019107A">
            <w:pPr>
              <w:jc w:val="left"/>
              <w:rPr>
                <w:rFonts w:ascii="Arial" w:hAnsi="Arial" w:cs="Arial"/>
                <w:sz w:val="19"/>
                <w:szCs w:val="19"/>
                <w:lang w:eastAsia="en-NZ"/>
              </w:rPr>
            </w:pPr>
            <w:r w:rsidRPr="00047CF3">
              <w:rPr>
                <w:rFonts w:ascii="Arial" w:hAnsi="Arial" w:cs="Arial"/>
                <w:sz w:val="19"/>
                <w:szCs w:val="19"/>
                <w:lang w:eastAsia="en-NZ"/>
              </w:rPr>
              <w:t>No</w:t>
            </w:r>
          </w:p>
        </w:tc>
        <w:tc>
          <w:tcPr>
            <w:tcW w:w="1300" w:type="pct"/>
            <w:tcBorders>
              <w:top w:val="single" w:sz="2" w:space="0" w:color="auto"/>
              <w:left w:val="single" w:sz="2" w:space="0" w:color="auto"/>
              <w:bottom w:val="single" w:sz="6" w:space="0" w:color="808080"/>
              <w:right w:val="single" w:sz="2" w:space="0" w:color="auto"/>
            </w:tcBorders>
            <w:tcMar>
              <w:top w:w="120" w:type="dxa"/>
              <w:left w:w="120" w:type="dxa"/>
              <w:bottom w:w="120" w:type="dxa"/>
              <w:right w:w="120" w:type="dxa"/>
            </w:tcMar>
          </w:tcPr>
          <w:p w:rsidR="00AC39EF" w:rsidRPr="00047CF3" w:rsidRDefault="00AC39EF" w:rsidP="0019107A">
            <w:pPr>
              <w:jc w:val="left"/>
              <w:rPr>
                <w:rFonts w:ascii="Arial" w:hAnsi="Arial" w:cs="Arial"/>
                <w:sz w:val="19"/>
                <w:szCs w:val="19"/>
                <w:lang w:eastAsia="en-NZ"/>
              </w:rPr>
            </w:pPr>
          </w:p>
        </w:tc>
      </w:tr>
      <w:tr w:rsidR="00754FB8" w:rsidRPr="00AC39EF" w:rsidTr="002D128C">
        <w:trPr>
          <w:cantSplit/>
          <w:tblHeader/>
        </w:trPr>
        <w:tc>
          <w:tcPr>
            <w:tcW w:w="1286" w:type="pct"/>
            <w:tcBorders>
              <w:top w:val="single" w:sz="2" w:space="0" w:color="auto"/>
              <w:left w:val="single" w:sz="2" w:space="0" w:color="auto"/>
              <w:bottom w:val="single" w:sz="6" w:space="0" w:color="808080"/>
              <w:right w:val="single" w:sz="2" w:space="0" w:color="auto"/>
            </w:tcBorders>
            <w:shd w:val="clear" w:color="auto" w:fill="D9D9D9" w:themeFill="background1" w:themeFillShade="D9"/>
            <w:tcMar>
              <w:top w:w="120" w:type="dxa"/>
              <w:left w:w="120" w:type="dxa"/>
              <w:bottom w:w="120" w:type="dxa"/>
              <w:right w:w="120" w:type="dxa"/>
            </w:tcMar>
          </w:tcPr>
          <w:p w:rsidR="00754FB8" w:rsidRPr="00837BCD" w:rsidRDefault="00754FB8" w:rsidP="00754FB8">
            <w:pPr>
              <w:jc w:val="left"/>
              <w:rPr>
                <w:rFonts w:ascii="Arial" w:hAnsi="Arial" w:cs="Arial"/>
                <w:b/>
                <w:sz w:val="19"/>
                <w:szCs w:val="19"/>
                <w:lang w:eastAsia="en-NZ"/>
              </w:rPr>
            </w:pPr>
            <w:r w:rsidRPr="00837BCD">
              <w:rPr>
                <w:rFonts w:ascii="Arial" w:hAnsi="Arial" w:cs="Arial"/>
                <w:b/>
                <w:sz w:val="19"/>
                <w:szCs w:val="19"/>
                <w:lang w:eastAsia="en-NZ"/>
              </w:rPr>
              <w:lastRenderedPageBreak/>
              <w:t>Site name</w:t>
            </w:r>
          </w:p>
        </w:tc>
        <w:tc>
          <w:tcPr>
            <w:tcW w:w="1020" w:type="pct"/>
            <w:tcBorders>
              <w:top w:val="single" w:sz="2" w:space="0" w:color="auto"/>
              <w:left w:val="single" w:sz="2" w:space="0" w:color="auto"/>
              <w:bottom w:val="single" w:sz="6" w:space="0" w:color="808080"/>
              <w:right w:val="single" w:sz="2" w:space="0" w:color="auto"/>
            </w:tcBorders>
            <w:shd w:val="clear" w:color="auto" w:fill="D9D9D9" w:themeFill="background1" w:themeFillShade="D9"/>
            <w:tcMar>
              <w:top w:w="120" w:type="dxa"/>
              <w:left w:w="120" w:type="dxa"/>
              <w:bottom w:w="120" w:type="dxa"/>
              <w:right w:w="120" w:type="dxa"/>
            </w:tcMar>
          </w:tcPr>
          <w:p w:rsidR="00754FB8" w:rsidRPr="00837BCD" w:rsidRDefault="00754FB8" w:rsidP="00754FB8">
            <w:pPr>
              <w:jc w:val="left"/>
              <w:rPr>
                <w:rFonts w:ascii="Arial" w:hAnsi="Arial" w:cs="Arial"/>
                <w:b/>
                <w:sz w:val="19"/>
                <w:szCs w:val="19"/>
                <w:lang w:eastAsia="en-NZ"/>
              </w:rPr>
            </w:pPr>
            <w:r w:rsidRPr="00837BCD">
              <w:rPr>
                <w:rFonts w:ascii="Arial" w:hAnsi="Arial" w:cs="Arial"/>
                <w:b/>
                <w:sz w:val="19"/>
                <w:szCs w:val="19"/>
                <w:lang w:eastAsia="en-NZ"/>
              </w:rPr>
              <w:t>Location</w:t>
            </w:r>
          </w:p>
        </w:tc>
        <w:tc>
          <w:tcPr>
            <w:tcW w:w="1394" w:type="pct"/>
            <w:tcBorders>
              <w:top w:val="single" w:sz="2" w:space="0" w:color="auto"/>
              <w:left w:val="single" w:sz="2" w:space="0" w:color="auto"/>
              <w:bottom w:val="single" w:sz="6" w:space="0" w:color="808080"/>
              <w:right w:val="single" w:sz="2" w:space="0" w:color="auto"/>
            </w:tcBorders>
            <w:shd w:val="clear" w:color="auto" w:fill="D9D9D9" w:themeFill="background1" w:themeFillShade="D9"/>
            <w:tcMar>
              <w:top w:w="120" w:type="dxa"/>
              <w:left w:w="120" w:type="dxa"/>
              <w:bottom w:w="120" w:type="dxa"/>
              <w:right w:w="120" w:type="dxa"/>
            </w:tcMar>
          </w:tcPr>
          <w:p w:rsidR="00754FB8" w:rsidRPr="00837BCD" w:rsidRDefault="00754FB8" w:rsidP="00754FB8">
            <w:pPr>
              <w:jc w:val="left"/>
              <w:rPr>
                <w:rFonts w:ascii="Arial" w:hAnsi="Arial" w:cs="Arial"/>
                <w:b/>
                <w:sz w:val="19"/>
                <w:szCs w:val="19"/>
                <w:lang w:eastAsia="en-NZ"/>
              </w:rPr>
            </w:pPr>
            <w:r w:rsidRPr="00837BCD">
              <w:rPr>
                <w:rFonts w:ascii="Arial" w:hAnsi="Arial" w:cs="Arial"/>
                <w:b/>
                <w:sz w:val="19"/>
                <w:szCs w:val="19"/>
                <w:lang w:eastAsia="en-NZ"/>
              </w:rPr>
              <w:t>Gas collection and flare</w:t>
            </w:r>
          </w:p>
        </w:tc>
        <w:tc>
          <w:tcPr>
            <w:tcW w:w="1300" w:type="pct"/>
            <w:tcBorders>
              <w:top w:val="single" w:sz="2" w:space="0" w:color="auto"/>
              <w:left w:val="single" w:sz="2" w:space="0" w:color="auto"/>
              <w:bottom w:val="single" w:sz="6" w:space="0" w:color="808080"/>
              <w:right w:val="single" w:sz="2" w:space="0" w:color="auto"/>
            </w:tcBorders>
            <w:shd w:val="clear" w:color="auto" w:fill="D9D9D9" w:themeFill="background1" w:themeFillShade="D9"/>
            <w:tcMar>
              <w:top w:w="120" w:type="dxa"/>
              <w:left w:w="120" w:type="dxa"/>
              <w:bottom w:w="120" w:type="dxa"/>
              <w:right w:w="120" w:type="dxa"/>
            </w:tcMar>
          </w:tcPr>
          <w:p w:rsidR="00754FB8" w:rsidRPr="00837BCD" w:rsidRDefault="00754FB8" w:rsidP="00754FB8">
            <w:pPr>
              <w:jc w:val="left"/>
              <w:rPr>
                <w:rFonts w:ascii="Arial" w:hAnsi="Arial" w:cs="Arial"/>
                <w:b/>
                <w:sz w:val="19"/>
                <w:szCs w:val="19"/>
                <w:lang w:eastAsia="en-NZ"/>
              </w:rPr>
            </w:pPr>
            <w:r w:rsidRPr="00837BCD">
              <w:rPr>
                <w:rFonts w:ascii="Arial" w:hAnsi="Arial" w:cs="Arial"/>
                <w:b/>
                <w:sz w:val="19"/>
                <w:szCs w:val="19"/>
                <w:lang w:eastAsia="en-NZ"/>
              </w:rPr>
              <w:t>Gas collection and Generate</w:t>
            </w:r>
          </w:p>
        </w:tc>
      </w:tr>
      <w:tr w:rsidR="00754FB8" w:rsidRPr="00AC39EF" w:rsidTr="002D128C">
        <w:trPr>
          <w:cantSplit/>
          <w:tblHeader/>
        </w:trPr>
        <w:tc>
          <w:tcPr>
            <w:tcW w:w="1286" w:type="pct"/>
            <w:tcBorders>
              <w:top w:val="single" w:sz="2" w:space="0" w:color="auto"/>
              <w:left w:val="single" w:sz="2" w:space="0" w:color="auto"/>
              <w:bottom w:val="single" w:sz="6" w:space="0" w:color="808080"/>
              <w:right w:val="single" w:sz="2" w:space="0" w:color="auto"/>
            </w:tcBorders>
            <w:tcMar>
              <w:top w:w="120" w:type="dxa"/>
              <w:left w:w="120" w:type="dxa"/>
              <w:bottom w:w="120" w:type="dxa"/>
              <w:right w:w="120" w:type="dxa"/>
            </w:tcMar>
          </w:tcPr>
          <w:p w:rsidR="00754FB8" w:rsidRPr="00047CF3" w:rsidRDefault="00CC0B85" w:rsidP="00754FB8">
            <w:pPr>
              <w:jc w:val="left"/>
              <w:rPr>
                <w:rFonts w:ascii="Arial" w:hAnsi="Arial" w:cs="Arial"/>
                <w:sz w:val="19"/>
                <w:szCs w:val="19"/>
                <w:lang w:eastAsia="en-NZ"/>
              </w:rPr>
            </w:pPr>
            <w:hyperlink r:id="rId48" w:history="1">
              <w:r w:rsidR="00754FB8" w:rsidRPr="00047CF3">
                <w:rPr>
                  <w:rFonts w:ascii="Arial" w:hAnsi="Arial" w:cs="Arial"/>
                  <w:sz w:val="19"/>
                  <w:szCs w:val="19"/>
                  <w:lang w:eastAsia="en-NZ"/>
                </w:rPr>
                <w:t>Bonny Glen</w:t>
              </w:r>
            </w:hyperlink>
          </w:p>
        </w:tc>
        <w:tc>
          <w:tcPr>
            <w:tcW w:w="1020" w:type="pct"/>
            <w:tcBorders>
              <w:top w:val="single" w:sz="2" w:space="0" w:color="auto"/>
              <w:left w:val="single" w:sz="2" w:space="0" w:color="auto"/>
              <w:bottom w:val="single" w:sz="6" w:space="0" w:color="808080"/>
              <w:right w:val="single" w:sz="2" w:space="0" w:color="auto"/>
            </w:tcBorders>
            <w:tcMar>
              <w:top w:w="120" w:type="dxa"/>
              <w:left w:w="120" w:type="dxa"/>
              <w:bottom w:w="120" w:type="dxa"/>
              <w:right w:w="120" w:type="dxa"/>
            </w:tcMar>
          </w:tcPr>
          <w:p w:rsidR="00754FB8" w:rsidRPr="00047CF3" w:rsidRDefault="00754FB8" w:rsidP="00754FB8">
            <w:pPr>
              <w:jc w:val="left"/>
              <w:rPr>
                <w:rFonts w:ascii="Arial" w:hAnsi="Arial" w:cs="Arial"/>
                <w:sz w:val="19"/>
                <w:szCs w:val="19"/>
                <w:lang w:eastAsia="en-NZ"/>
              </w:rPr>
            </w:pPr>
            <w:proofErr w:type="spellStart"/>
            <w:r w:rsidRPr="00047CF3">
              <w:rPr>
                <w:rFonts w:ascii="Arial" w:hAnsi="Arial" w:cs="Arial"/>
                <w:sz w:val="19"/>
                <w:szCs w:val="19"/>
                <w:lang w:eastAsia="en-NZ"/>
              </w:rPr>
              <w:t>Marton</w:t>
            </w:r>
            <w:proofErr w:type="spellEnd"/>
          </w:p>
        </w:tc>
        <w:tc>
          <w:tcPr>
            <w:tcW w:w="1394" w:type="pct"/>
            <w:tcBorders>
              <w:top w:val="single" w:sz="2" w:space="0" w:color="auto"/>
              <w:left w:val="single" w:sz="2" w:space="0" w:color="auto"/>
              <w:bottom w:val="single" w:sz="6" w:space="0" w:color="808080"/>
              <w:right w:val="single" w:sz="2" w:space="0" w:color="auto"/>
            </w:tcBorders>
            <w:tcMar>
              <w:top w:w="120" w:type="dxa"/>
              <w:left w:w="120" w:type="dxa"/>
              <w:bottom w:w="120" w:type="dxa"/>
              <w:right w:w="120" w:type="dxa"/>
            </w:tcMar>
          </w:tcPr>
          <w:p w:rsidR="00754FB8" w:rsidRPr="00047CF3" w:rsidRDefault="00754FB8" w:rsidP="00754FB8">
            <w:pPr>
              <w:jc w:val="left"/>
              <w:rPr>
                <w:rFonts w:ascii="Arial" w:hAnsi="Arial" w:cs="Arial"/>
                <w:sz w:val="19"/>
                <w:szCs w:val="19"/>
                <w:lang w:eastAsia="en-NZ"/>
              </w:rPr>
            </w:pPr>
            <w:r w:rsidRPr="00047CF3">
              <w:rPr>
                <w:rFonts w:ascii="Arial" w:hAnsi="Arial" w:cs="Arial"/>
                <w:sz w:val="19"/>
                <w:szCs w:val="19"/>
                <w:lang w:eastAsia="en-NZ"/>
              </w:rPr>
              <w:t>Yes</w:t>
            </w:r>
          </w:p>
        </w:tc>
        <w:tc>
          <w:tcPr>
            <w:tcW w:w="1300" w:type="pct"/>
            <w:tcBorders>
              <w:top w:val="single" w:sz="2" w:space="0" w:color="auto"/>
              <w:left w:val="single" w:sz="2" w:space="0" w:color="auto"/>
              <w:bottom w:val="single" w:sz="6" w:space="0" w:color="808080"/>
              <w:right w:val="single" w:sz="2" w:space="0" w:color="auto"/>
            </w:tcBorders>
            <w:tcMar>
              <w:top w:w="120" w:type="dxa"/>
              <w:left w:w="120" w:type="dxa"/>
              <w:bottom w:w="120" w:type="dxa"/>
              <w:right w:w="120" w:type="dxa"/>
            </w:tcMar>
          </w:tcPr>
          <w:p w:rsidR="00754FB8" w:rsidRPr="00047CF3" w:rsidRDefault="00754FB8" w:rsidP="00754FB8">
            <w:pPr>
              <w:jc w:val="left"/>
              <w:rPr>
                <w:rFonts w:ascii="Arial" w:hAnsi="Arial" w:cs="Arial"/>
                <w:sz w:val="19"/>
                <w:szCs w:val="19"/>
                <w:lang w:eastAsia="en-NZ"/>
              </w:rPr>
            </w:pPr>
          </w:p>
        </w:tc>
      </w:tr>
      <w:tr w:rsidR="00754FB8" w:rsidRPr="00AC39EF" w:rsidTr="002D128C">
        <w:trPr>
          <w:cantSplit/>
          <w:tblHeader/>
        </w:trPr>
        <w:tc>
          <w:tcPr>
            <w:tcW w:w="1286" w:type="pct"/>
            <w:tcBorders>
              <w:top w:val="single" w:sz="2" w:space="0" w:color="auto"/>
              <w:left w:val="single" w:sz="2" w:space="0" w:color="auto"/>
              <w:bottom w:val="single" w:sz="6" w:space="0" w:color="808080"/>
              <w:right w:val="single" w:sz="2" w:space="0" w:color="auto"/>
            </w:tcBorders>
            <w:tcMar>
              <w:top w:w="120" w:type="dxa"/>
              <w:left w:w="120" w:type="dxa"/>
              <w:bottom w:w="120" w:type="dxa"/>
              <w:right w:w="120" w:type="dxa"/>
            </w:tcMar>
          </w:tcPr>
          <w:p w:rsidR="00754FB8" w:rsidRPr="00047CF3" w:rsidRDefault="00CC0B85" w:rsidP="00754FB8">
            <w:pPr>
              <w:jc w:val="left"/>
              <w:rPr>
                <w:rFonts w:ascii="Arial" w:hAnsi="Arial" w:cs="Arial"/>
                <w:sz w:val="19"/>
                <w:szCs w:val="19"/>
                <w:lang w:eastAsia="en-NZ"/>
              </w:rPr>
            </w:pPr>
            <w:hyperlink r:id="rId49" w:history="1">
              <w:r w:rsidR="00754FB8" w:rsidRPr="00047CF3">
                <w:rPr>
                  <w:rFonts w:ascii="Arial" w:hAnsi="Arial" w:cs="Arial"/>
                  <w:sz w:val="19"/>
                  <w:szCs w:val="19"/>
                  <w:lang w:eastAsia="en-NZ"/>
                </w:rPr>
                <w:t>Levin Landfill</w:t>
              </w:r>
            </w:hyperlink>
          </w:p>
        </w:tc>
        <w:tc>
          <w:tcPr>
            <w:tcW w:w="1020" w:type="pct"/>
            <w:tcBorders>
              <w:top w:val="single" w:sz="2" w:space="0" w:color="auto"/>
              <w:left w:val="single" w:sz="2" w:space="0" w:color="auto"/>
              <w:bottom w:val="single" w:sz="6" w:space="0" w:color="808080"/>
              <w:right w:val="single" w:sz="2" w:space="0" w:color="auto"/>
            </w:tcBorders>
            <w:tcMar>
              <w:top w:w="120" w:type="dxa"/>
              <w:left w:w="120" w:type="dxa"/>
              <w:bottom w:w="120" w:type="dxa"/>
              <w:right w:w="120" w:type="dxa"/>
            </w:tcMar>
          </w:tcPr>
          <w:p w:rsidR="00754FB8" w:rsidRPr="00047CF3" w:rsidRDefault="00754FB8" w:rsidP="00754FB8">
            <w:pPr>
              <w:jc w:val="left"/>
              <w:rPr>
                <w:rFonts w:ascii="Arial" w:hAnsi="Arial" w:cs="Arial"/>
                <w:sz w:val="19"/>
                <w:szCs w:val="19"/>
                <w:lang w:eastAsia="en-NZ"/>
              </w:rPr>
            </w:pPr>
            <w:r w:rsidRPr="00047CF3">
              <w:rPr>
                <w:rFonts w:ascii="Arial" w:hAnsi="Arial" w:cs="Arial"/>
                <w:sz w:val="19"/>
                <w:szCs w:val="19"/>
                <w:lang w:eastAsia="en-NZ"/>
              </w:rPr>
              <w:t>Levin</w:t>
            </w:r>
          </w:p>
        </w:tc>
        <w:tc>
          <w:tcPr>
            <w:tcW w:w="1394" w:type="pct"/>
            <w:tcBorders>
              <w:top w:val="single" w:sz="2" w:space="0" w:color="auto"/>
              <w:left w:val="single" w:sz="2" w:space="0" w:color="auto"/>
              <w:bottom w:val="single" w:sz="6" w:space="0" w:color="808080"/>
              <w:right w:val="single" w:sz="2" w:space="0" w:color="auto"/>
            </w:tcBorders>
            <w:tcMar>
              <w:top w:w="120" w:type="dxa"/>
              <w:left w:w="120" w:type="dxa"/>
              <w:bottom w:w="120" w:type="dxa"/>
              <w:right w:w="120" w:type="dxa"/>
            </w:tcMar>
          </w:tcPr>
          <w:p w:rsidR="00754FB8" w:rsidRPr="00047CF3" w:rsidRDefault="00754FB8" w:rsidP="00754FB8">
            <w:pPr>
              <w:jc w:val="left"/>
              <w:rPr>
                <w:rFonts w:ascii="Arial" w:hAnsi="Arial" w:cs="Arial"/>
                <w:sz w:val="19"/>
                <w:szCs w:val="19"/>
                <w:lang w:eastAsia="en-NZ"/>
              </w:rPr>
            </w:pPr>
            <w:r w:rsidRPr="00047CF3">
              <w:rPr>
                <w:rFonts w:ascii="Arial" w:hAnsi="Arial" w:cs="Arial"/>
                <w:sz w:val="19"/>
                <w:szCs w:val="19"/>
                <w:lang w:eastAsia="en-NZ"/>
              </w:rPr>
              <w:t>No</w:t>
            </w:r>
          </w:p>
        </w:tc>
        <w:tc>
          <w:tcPr>
            <w:tcW w:w="1300" w:type="pct"/>
            <w:tcBorders>
              <w:top w:val="single" w:sz="2" w:space="0" w:color="auto"/>
              <w:left w:val="single" w:sz="2" w:space="0" w:color="auto"/>
              <w:bottom w:val="single" w:sz="6" w:space="0" w:color="808080"/>
              <w:right w:val="single" w:sz="2" w:space="0" w:color="auto"/>
            </w:tcBorders>
            <w:tcMar>
              <w:top w:w="120" w:type="dxa"/>
              <w:left w:w="120" w:type="dxa"/>
              <w:bottom w:w="120" w:type="dxa"/>
              <w:right w:w="120" w:type="dxa"/>
            </w:tcMar>
          </w:tcPr>
          <w:p w:rsidR="00754FB8" w:rsidRPr="00047CF3" w:rsidRDefault="00754FB8" w:rsidP="00754FB8">
            <w:pPr>
              <w:jc w:val="left"/>
              <w:rPr>
                <w:rFonts w:ascii="Arial" w:hAnsi="Arial" w:cs="Arial"/>
                <w:sz w:val="19"/>
                <w:szCs w:val="19"/>
                <w:lang w:eastAsia="en-NZ"/>
              </w:rPr>
            </w:pPr>
          </w:p>
        </w:tc>
      </w:tr>
      <w:tr w:rsidR="00754FB8" w:rsidRPr="00AC39EF" w:rsidTr="002D128C">
        <w:trPr>
          <w:cantSplit/>
          <w:tblHeader/>
        </w:trPr>
        <w:tc>
          <w:tcPr>
            <w:tcW w:w="1286" w:type="pct"/>
            <w:tcBorders>
              <w:top w:val="single" w:sz="2" w:space="0" w:color="auto"/>
              <w:left w:val="single" w:sz="2" w:space="0" w:color="auto"/>
              <w:bottom w:val="single" w:sz="6" w:space="0" w:color="808080"/>
              <w:right w:val="single" w:sz="2" w:space="0" w:color="auto"/>
            </w:tcBorders>
            <w:tcMar>
              <w:top w:w="120" w:type="dxa"/>
              <w:left w:w="120" w:type="dxa"/>
              <w:bottom w:w="120" w:type="dxa"/>
              <w:right w:w="120" w:type="dxa"/>
            </w:tcMar>
          </w:tcPr>
          <w:p w:rsidR="00754FB8" w:rsidRPr="00047CF3" w:rsidRDefault="00CC0B85" w:rsidP="00754FB8">
            <w:pPr>
              <w:jc w:val="left"/>
              <w:rPr>
                <w:rFonts w:ascii="Arial" w:hAnsi="Arial" w:cs="Arial"/>
                <w:sz w:val="19"/>
                <w:szCs w:val="19"/>
                <w:lang w:eastAsia="en-NZ"/>
              </w:rPr>
            </w:pPr>
            <w:hyperlink r:id="rId50" w:history="1">
              <w:proofErr w:type="spellStart"/>
              <w:r w:rsidR="00754FB8" w:rsidRPr="00047CF3">
                <w:rPr>
                  <w:rFonts w:ascii="Arial" w:hAnsi="Arial" w:cs="Arial"/>
                  <w:sz w:val="19"/>
                  <w:szCs w:val="19"/>
                  <w:lang w:eastAsia="en-NZ"/>
                </w:rPr>
                <w:t>Silverstream</w:t>
              </w:r>
              <w:proofErr w:type="spellEnd"/>
              <w:r w:rsidR="00754FB8" w:rsidRPr="00047CF3">
                <w:rPr>
                  <w:rFonts w:ascii="Arial" w:hAnsi="Arial" w:cs="Arial"/>
                  <w:sz w:val="19"/>
                  <w:szCs w:val="19"/>
                  <w:lang w:eastAsia="en-NZ"/>
                </w:rPr>
                <w:t xml:space="preserve"> Landfill</w:t>
              </w:r>
            </w:hyperlink>
          </w:p>
        </w:tc>
        <w:tc>
          <w:tcPr>
            <w:tcW w:w="1020" w:type="pct"/>
            <w:tcBorders>
              <w:top w:val="single" w:sz="2" w:space="0" w:color="auto"/>
              <w:left w:val="single" w:sz="2" w:space="0" w:color="auto"/>
              <w:bottom w:val="single" w:sz="6" w:space="0" w:color="808080"/>
              <w:right w:val="single" w:sz="2" w:space="0" w:color="auto"/>
            </w:tcBorders>
            <w:tcMar>
              <w:top w:w="120" w:type="dxa"/>
              <w:left w:w="120" w:type="dxa"/>
              <w:bottom w:w="120" w:type="dxa"/>
              <w:right w:w="120" w:type="dxa"/>
            </w:tcMar>
          </w:tcPr>
          <w:p w:rsidR="00754FB8" w:rsidRPr="00047CF3" w:rsidRDefault="00754FB8" w:rsidP="00754FB8">
            <w:pPr>
              <w:jc w:val="left"/>
              <w:rPr>
                <w:rFonts w:ascii="Arial" w:hAnsi="Arial" w:cs="Arial"/>
                <w:sz w:val="19"/>
                <w:szCs w:val="19"/>
                <w:lang w:eastAsia="en-NZ"/>
              </w:rPr>
            </w:pPr>
            <w:r w:rsidRPr="00047CF3">
              <w:rPr>
                <w:rFonts w:ascii="Arial" w:hAnsi="Arial" w:cs="Arial"/>
                <w:sz w:val="19"/>
                <w:szCs w:val="19"/>
                <w:lang w:eastAsia="en-NZ"/>
              </w:rPr>
              <w:t>Lower Hutt Wellington</w:t>
            </w:r>
          </w:p>
        </w:tc>
        <w:tc>
          <w:tcPr>
            <w:tcW w:w="1394" w:type="pct"/>
            <w:tcBorders>
              <w:top w:val="single" w:sz="2" w:space="0" w:color="auto"/>
              <w:left w:val="single" w:sz="2" w:space="0" w:color="auto"/>
              <w:bottom w:val="single" w:sz="6" w:space="0" w:color="808080"/>
              <w:right w:val="single" w:sz="2" w:space="0" w:color="auto"/>
            </w:tcBorders>
            <w:tcMar>
              <w:top w:w="120" w:type="dxa"/>
              <w:left w:w="120" w:type="dxa"/>
              <w:bottom w:w="120" w:type="dxa"/>
              <w:right w:w="120" w:type="dxa"/>
            </w:tcMar>
          </w:tcPr>
          <w:p w:rsidR="00754FB8" w:rsidRPr="00047CF3" w:rsidRDefault="00754FB8" w:rsidP="00754FB8">
            <w:pPr>
              <w:jc w:val="left"/>
              <w:rPr>
                <w:rFonts w:ascii="Arial" w:hAnsi="Arial" w:cs="Arial"/>
                <w:sz w:val="19"/>
                <w:szCs w:val="19"/>
                <w:lang w:eastAsia="en-NZ"/>
              </w:rPr>
            </w:pPr>
          </w:p>
        </w:tc>
        <w:tc>
          <w:tcPr>
            <w:tcW w:w="1300" w:type="pct"/>
            <w:tcBorders>
              <w:top w:val="single" w:sz="2" w:space="0" w:color="auto"/>
              <w:left w:val="single" w:sz="2" w:space="0" w:color="auto"/>
              <w:bottom w:val="single" w:sz="6" w:space="0" w:color="808080"/>
              <w:right w:val="single" w:sz="2" w:space="0" w:color="auto"/>
            </w:tcBorders>
            <w:tcMar>
              <w:top w:w="120" w:type="dxa"/>
              <w:left w:w="120" w:type="dxa"/>
              <w:bottom w:w="120" w:type="dxa"/>
              <w:right w:w="120" w:type="dxa"/>
            </w:tcMar>
          </w:tcPr>
          <w:p w:rsidR="00754FB8" w:rsidRPr="00047CF3" w:rsidRDefault="00754FB8" w:rsidP="00754FB8">
            <w:pPr>
              <w:jc w:val="left"/>
              <w:rPr>
                <w:rFonts w:ascii="Arial" w:hAnsi="Arial" w:cs="Arial"/>
                <w:sz w:val="19"/>
                <w:szCs w:val="19"/>
                <w:lang w:eastAsia="en-NZ"/>
              </w:rPr>
            </w:pPr>
            <w:r w:rsidRPr="00047CF3">
              <w:rPr>
                <w:rFonts w:ascii="Arial" w:hAnsi="Arial" w:cs="Arial"/>
                <w:sz w:val="19"/>
                <w:szCs w:val="19"/>
                <w:lang w:eastAsia="en-NZ"/>
              </w:rPr>
              <w:t>Yes</w:t>
            </w:r>
          </w:p>
        </w:tc>
      </w:tr>
      <w:tr w:rsidR="00754FB8" w:rsidRPr="00AC39EF" w:rsidTr="002D128C">
        <w:trPr>
          <w:cantSplit/>
          <w:tblHeader/>
        </w:trPr>
        <w:tc>
          <w:tcPr>
            <w:tcW w:w="1286" w:type="pct"/>
            <w:tcBorders>
              <w:top w:val="single" w:sz="2" w:space="0" w:color="auto"/>
              <w:left w:val="single" w:sz="2" w:space="0" w:color="auto"/>
              <w:bottom w:val="single" w:sz="6" w:space="0" w:color="808080"/>
              <w:right w:val="single" w:sz="2" w:space="0" w:color="auto"/>
            </w:tcBorders>
            <w:tcMar>
              <w:top w:w="120" w:type="dxa"/>
              <w:left w:w="120" w:type="dxa"/>
              <w:bottom w:w="120" w:type="dxa"/>
              <w:right w:w="120" w:type="dxa"/>
            </w:tcMar>
          </w:tcPr>
          <w:p w:rsidR="00754FB8" w:rsidRPr="00047CF3" w:rsidRDefault="00CC0B85" w:rsidP="00754FB8">
            <w:pPr>
              <w:jc w:val="left"/>
              <w:rPr>
                <w:rFonts w:ascii="Arial" w:hAnsi="Arial" w:cs="Arial"/>
                <w:sz w:val="19"/>
                <w:szCs w:val="19"/>
                <w:lang w:eastAsia="en-NZ"/>
              </w:rPr>
            </w:pPr>
            <w:hyperlink r:id="rId51" w:history="1">
              <w:r w:rsidR="00754FB8" w:rsidRPr="00047CF3">
                <w:rPr>
                  <w:rFonts w:ascii="Arial" w:hAnsi="Arial" w:cs="Arial"/>
                  <w:sz w:val="19"/>
                  <w:szCs w:val="19"/>
                  <w:lang w:eastAsia="en-NZ"/>
                </w:rPr>
                <w:t>Southern Landfill</w:t>
              </w:r>
            </w:hyperlink>
          </w:p>
        </w:tc>
        <w:tc>
          <w:tcPr>
            <w:tcW w:w="1020" w:type="pct"/>
            <w:tcBorders>
              <w:top w:val="single" w:sz="2" w:space="0" w:color="auto"/>
              <w:left w:val="single" w:sz="2" w:space="0" w:color="auto"/>
              <w:bottom w:val="single" w:sz="6" w:space="0" w:color="808080"/>
              <w:right w:val="single" w:sz="2" w:space="0" w:color="auto"/>
            </w:tcBorders>
            <w:tcMar>
              <w:top w:w="120" w:type="dxa"/>
              <w:left w:w="120" w:type="dxa"/>
              <w:bottom w:w="120" w:type="dxa"/>
              <w:right w:w="120" w:type="dxa"/>
            </w:tcMar>
          </w:tcPr>
          <w:p w:rsidR="00754FB8" w:rsidRPr="00047CF3" w:rsidRDefault="00754FB8" w:rsidP="00754FB8">
            <w:pPr>
              <w:jc w:val="left"/>
              <w:rPr>
                <w:rFonts w:ascii="Arial" w:hAnsi="Arial" w:cs="Arial"/>
                <w:sz w:val="19"/>
                <w:szCs w:val="19"/>
                <w:lang w:eastAsia="en-NZ"/>
              </w:rPr>
            </w:pPr>
            <w:r w:rsidRPr="00047CF3">
              <w:rPr>
                <w:rFonts w:ascii="Arial" w:hAnsi="Arial" w:cs="Arial"/>
                <w:sz w:val="19"/>
                <w:szCs w:val="19"/>
                <w:lang w:eastAsia="en-NZ"/>
              </w:rPr>
              <w:t>Happy Valley, Wellington</w:t>
            </w:r>
          </w:p>
        </w:tc>
        <w:tc>
          <w:tcPr>
            <w:tcW w:w="1394" w:type="pct"/>
            <w:tcBorders>
              <w:top w:val="single" w:sz="2" w:space="0" w:color="auto"/>
              <w:left w:val="single" w:sz="2" w:space="0" w:color="auto"/>
              <w:bottom w:val="single" w:sz="6" w:space="0" w:color="808080"/>
              <w:right w:val="single" w:sz="2" w:space="0" w:color="auto"/>
            </w:tcBorders>
            <w:tcMar>
              <w:top w:w="120" w:type="dxa"/>
              <w:left w:w="120" w:type="dxa"/>
              <w:bottom w:w="120" w:type="dxa"/>
              <w:right w:w="120" w:type="dxa"/>
            </w:tcMar>
          </w:tcPr>
          <w:p w:rsidR="00754FB8" w:rsidRPr="00047CF3" w:rsidRDefault="00754FB8" w:rsidP="00754FB8">
            <w:pPr>
              <w:jc w:val="left"/>
              <w:rPr>
                <w:rFonts w:ascii="Arial" w:hAnsi="Arial" w:cs="Arial"/>
                <w:sz w:val="19"/>
                <w:szCs w:val="19"/>
                <w:lang w:eastAsia="en-NZ"/>
              </w:rPr>
            </w:pPr>
          </w:p>
        </w:tc>
        <w:tc>
          <w:tcPr>
            <w:tcW w:w="1300" w:type="pct"/>
            <w:tcBorders>
              <w:top w:val="single" w:sz="2" w:space="0" w:color="auto"/>
              <w:left w:val="single" w:sz="2" w:space="0" w:color="auto"/>
              <w:bottom w:val="single" w:sz="6" w:space="0" w:color="808080"/>
              <w:right w:val="single" w:sz="2" w:space="0" w:color="auto"/>
            </w:tcBorders>
            <w:tcMar>
              <w:top w:w="120" w:type="dxa"/>
              <w:left w:w="120" w:type="dxa"/>
              <w:bottom w:w="120" w:type="dxa"/>
              <w:right w:w="120" w:type="dxa"/>
            </w:tcMar>
          </w:tcPr>
          <w:p w:rsidR="00754FB8" w:rsidRPr="00047CF3" w:rsidRDefault="00754FB8" w:rsidP="00754FB8">
            <w:pPr>
              <w:jc w:val="left"/>
              <w:rPr>
                <w:rFonts w:ascii="Arial" w:hAnsi="Arial" w:cs="Arial"/>
                <w:sz w:val="19"/>
                <w:szCs w:val="19"/>
                <w:lang w:eastAsia="en-NZ"/>
              </w:rPr>
            </w:pPr>
            <w:r w:rsidRPr="00047CF3">
              <w:rPr>
                <w:rFonts w:ascii="Arial" w:hAnsi="Arial" w:cs="Arial"/>
                <w:sz w:val="19"/>
                <w:szCs w:val="19"/>
                <w:lang w:eastAsia="en-NZ"/>
              </w:rPr>
              <w:t>Yes</w:t>
            </w:r>
          </w:p>
        </w:tc>
      </w:tr>
      <w:tr w:rsidR="00754FB8" w:rsidRPr="00AC39EF" w:rsidTr="002D128C">
        <w:trPr>
          <w:cantSplit/>
          <w:tblHeader/>
        </w:trPr>
        <w:tc>
          <w:tcPr>
            <w:tcW w:w="1286" w:type="pct"/>
            <w:tcBorders>
              <w:top w:val="single" w:sz="2" w:space="0" w:color="auto"/>
              <w:left w:val="single" w:sz="2" w:space="0" w:color="auto"/>
              <w:bottom w:val="single" w:sz="6" w:space="0" w:color="808080"/>
              <w:right w:val="single" w:sz="2" w:space="0" w:color="auto"/>
            </w:tcBorders>
            <w:tcMar>
              <w:top w:w="120" w:type="dxa"/>
              <w:left w:w="120" w:type="dxa"/>
              <w:bottom w:w="120" w:type="dxa"/>
              <w:right w:w="120" w:type="dxa"/>
            </w:tcMar>
          </w:tcPr>
          <w:p w:rsidR="00754FB8" w:rsidRPr="00047CF3" w:rsidRDefault="00CC0B85" w:rsidP="00754FB8">
            <w:pPr>
              <w:jc w:val="left"/>
              <w:rPr>
                <w:rFonts w:ascii="Arial" w:hAnsi="Arial" w:cs="Arial"/>
                <w:sz w:val="19"/>
                <w:szCs w:val="19"/>
                <w:lang w:eastAsia="en-NZ"/>
              </w:rPr>
            </w:pPr>
            <w:hyperlink r:id="rId52" w:history="1">
              <w:r w:rsidR="00754FB8" w:rsidRPr="00047CF3">
                <w:rPr>
                  <w:rFonts w:ascii="Arial" w:hAnsi="Arial" w:cs="Arial"/>
                  <w:sz w:val="19"/>
                  <w:szCs w:val="19"/>
                  <w:lang w:eastAsia="en-NZ"/>
                </w:rPr>
                <w:t>Spicer Landfill</w:t>
              </w:r>
            </w:hyperlink>
          </w:p>
        </w:tc>
        <w:tc>
          <w:tcPr>
            <w:tcW w:w="1020" w:type="pct"/>
            <w:tcBorders>
              <w:top w:val="single" w:sz="2" w:space="0" w:color="auto"/>
              <w:left w:val="single" w:sz="2" w:space="0" w:color="auto"/>
              <w:bottom w:val="single" w:sz="6" w:space="0" w:color="808080"/>
              <w:right w:val="single" w:sz="2" w:space="0" w:color="auto"/>
            </w:tcBorders>
            <w:tcMar>
              <w:top w:w="120" w:type="dxa"/>
              <w:left w:w="120" w:type="dxa"/>
              <w:bottom w:w="120" w:type="dxa"/>
              <w:right w:w="120" w:type="dxa"/>
            </w:tcMar>
          </w:tcPr>
          <w:p w:rsidR="00754FB8" w:rsidRPr="00047CF3" w:rsidRDefault="00754FB8" w:rsidP="00754FB8">
            <w:pPr>
              <w:jc w:val="left"/>
              <w:rPr>
                <w:rFonts w:ascii="Arial" w:hAnsi="Arial" w:cs="Arial"/>
                <w:sz w:val="19"/>
                <w:szCs w:val="19"/>
                <w:lang w:eastAsia="en-NZ"/>
              </w:rPr>
            </w:pPr>
            <w:proofErr w:type="spellStart"/>
            <w:r w:rsidRPr="00047CF3">
              <w:rPr>
                <w:rFonts w:ascii="Arial" w:hAnsi="Arial" w:cs="Arial"/>
                <w:sz w:val="19"/>
                <w:szCs w:val="19"/>
                <w:lang w:eastAsia="en-NZ"/>
              </w:rPr>
              <w:t>Porirua</w:t>
            </w:r>
            <w:proofErr w:type="spellEnd"/>
          </w:p>
        </w:tc>
        <w:tc>
          <w:tcPr>
            <w:tcW w:w="1394" w:type="pct"/>
            <w:tcBorders>
              <w:top w:val="single" w:sz="2" w:space="0" w:color="auto"/>
              <w:left w:val="single" w:sz="2" w:space="0" w:color="auto"/>
              <w:bottom w:val="single" w:sz="6" w:space="0" w:color="808080"/>
              <w:right w:val="single" w:sz="2" w:space="0" w:color="auto"/>
            </w:tcBorders>
            <w:tcMar>
              <w:top w:w="120" w:type="dxa"/>
              <w:left w:w="120" w:type="dxa"/>
              <w:bottom w:w="120" w:type="dxa"/>
              <w:right w:w="120" w:type="dxa"/>
            </w:tcMar>
          </w:tcPr>
          <w:p w:rsidR="00754FB8" w:rsidRPr="00047CF3" w:rsidRDefault="00754FB8" w:rsidP="00754FB8">
            <w:pPr>
              <w:jc w:val="left"/>
              <w:rPr>
                <w:rFonts w:ascii="Arial" w:hAnsi="Arial" w:cs="Arial"/>
                <w:sz w:val="19"/>
                <w:szCs w:val="19"/>
                <w:lang w:eastAsia="en-NZ"/>
              </w:rPr>
            </w:pPr>
            <w:r w:rsidRPr="00047CF3">
              <w:rPr>
                <w:rFonts w:ascii="Arial" w:hAnsi="Arial" w:cs="Arial"/>
                <w:sz w:val="19"/>
                <w:szCs w:val="19"/>
                <w:lang w:eastAsia="en-NZ"/>
              </w:rPr>
              <w:t>Yes</w:t>
            </w:r>
          </w:p>
        </w:tc>
        <w:tc>
          <w:tcPr>
            <w:tcW w:w="1300" w:type="pct"/>
            <w:tcBorders>
              <w:top w:val="single" w:sz="2" w:space="0" w:color="auto"/>
              <w:left w:val="single" w:sz="2" w:space="0" w:color="auto"/>
              <w:bottom w:val="single" w:sz="6" w:space="0" w:color="808080"/>
              <w:right w:val="single" w:sz="2" w:space="0" w:color="auto"/>
            </w:tcBorders>
            <w:tcMar>
              <w:top w:w="120" w:type="dxa"/>
              <w:left w:w="120" w:type="dxa"/>
              <w:bottom w:w="120" w:type="dxa"/>
              <w:right w:w="120" w:type="dxa"/>
            </w:tcMar>
          </w:tcPr>
          <w:p w:rsidR="00754FB8" w:rsidRPr="00047CF3" w:rsidRDefault="00754FB8" w:rsidP="00754FB8">
            <w:pPr>
              <w:jc w:val="left"/>
              <w:rPr>
                <w:rFonts w:ascii="Arial" w:hAnsi="Arial" w:cs="Arial"/>
                <w:sz w:val="19"/>
                <w:szCs w:val="19"/>
                <w:lang w:eastAsia="en-NZ"/>
              </w:rPr>
            </w:pPr>
          </w:p>
        </w:tc>
      </w:tr>
    </w:tbl>
    <w:p w:rsidR="004F1E88" w:rsidRPr="00AC39EF" w:rsidRDefault="004F1E88" w:rsidP="0019107A">
      <w:pPr>
        <w:jc w:val="left"/>
      </w:pPr>
    </w:p>
    <w:p w:rsidR="00E95B12" w:rsidRPr="00AC39EF" w:rsidRDefault="00E95B12" w:rsidP="0019107A">
      <w:pPr>
        <w:jc w:val="left"/>
      </w:pPr>
    </w:p>
    <w:p w:rsidR="00E95B12" w:rsidRPr="00E95B12" w:rsidRDefault="00E95B12" w:rsidP="0019107A">
      <w:pPr>
        <w:jc w:val="left"/>
      </w:pPr>
    </w:p>
    <w:sectPr w:rsidR="00E95B12" w:rsidRPr="00E95B12" w:rsidSect="00CE3725">
      <w:headerReference w:type="even" r:id="rId53"/>
      <w:headerReference w:type="default" r:id="rId54"/>
      <w:footerReference w:type="even" r:id="rId55"/>
      <w:footerReference w:type="default" r:id="rId56"/>
      <w:pgSz w:w="11907" w:h="16840" w:code="9"/>
      <w:pgMar w:top="1701" w:right="1418" w:bottom="1701" w:left="1418" w:header="567" w:footer="567" w:gutter="567"/>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B4F" w:rsidRDefault="00F52B4F">
      <w:r>
        <w:separator/>
      </w:r>
    </w:p>
    <w:p w:rsidR="00F52B4F" w:rsidRDefault="00F52B4F"/>
  </w:endnote>
  <w:endnote w:type="continuationSeparator" w:id="0">
    <w:p w:rsidR="00F52B4F" w:rsidRDefault="00F52B4F">
      <w:r>
        <w:continuationSeparator/>
      </w:r>
    </w:p>
    <w:p w:rsidR="00F52B4F" w:rsidRDefault="00F52B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B4F" w:rsidRDefault="00F52B4F" w:rsidP="00CE3725">
    <w:pPr>
      <w:ind w:left="-340"/>
    </w:pPr>
    <w:r>
      <w:rPr>
        <w:noProof/>
        <w:lang w:eastAsia="en-NZ"/>
      </w:rPr>
      <w:drawing>
        <wp:inline distT="0" distB="0" distL="0" distR="0" wp14:anchorId="00B2A29C" wp14:editId="6014FE2E">
          <wp:extent cx="2668270" cy="690245"/>
          <wp:effectExtent l="19050" t="0" r="0" b="0"/>
          <wp:docPr id="3" name="Picture 3" descr="All-of-govt_NZ_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l-of-govt_NZ_Gov"/>
                  <pic:cNvPicPr>
                    <a:picLocks noChangeAspect="1" noChangeArrowheads="1"/>
                  </pic:cNvPicPr>
                </pic:nvPicPr>
                <pic:blipFill>
                  <a:blip r:embed="rId1"/>
                  <a:srcRect/>
                  <a:stretch>
                    <a:fillRect/>
                  </a:stretch>
                </pic:blipFill>
                <pic:spPr bwMode="auto">
                  <a:xfrm>
                    <a:off x="0" y="0"/>
                    <a:ext cx="2668270" cy="690245"/>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B4F" w:rsidRDefault="00F52B4F" w:rsidP="00D74237">
    <w:pPr>
      <w:pStyle w:val="Footereven"/>
    </w:pPr>
    <w:r w:rsidRPr="009116D7">
      <w:rPr>
        <w:rStyle w:val="PageNumber"/>
      </w:rPr>
      <w:fldChar w:fldCharType="begin"/>
    </w:r>
    <w:r w:rsidRPr="009116D7">
      <w:rPr>
        <w:rStyle w:val="PageNumber"/>
      </w:rPr>
      <w:instrText xml:space="preserve"> PAGE </w:instrText>
    </w:r>
    <w:r w:rsidRPr="009116D7">
      <w:rPr>
        <w:rStyle w:val="PageNumber"/>
      </w:rPr>
      <w:fldChar w:fldCharType="separate"/>
    </w:r>
    <w:r>
      <w:rPr>
        <w:rStyle w:val="PageNumber"/>
        <w:noProof/>
      </w:rPr>
      <w:t>iv</w:t>
    </w:r>
    <w:r w:rsidRPr="009116D7">
      <w:rPr>
        <w:rStyle w:val="PageNumber"/>
      </w:rPr>
      <w:fldChar w:fldCharType="end"/>
    </w:r>
    <w:r>
      <w:tab/>
      <w:t>Guidance for voluntary, corporate greenhouse gas reporting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B4F" w:rsidRDefault="00F52B4F" w:rsidP="003018FD">
    <w:pPr>
      <w:pStyle w:val="Footerodd"/>
      <w:rPr>
        <w:rStyle w:val="PageNumber"/>
        <w:b w:val="0"/>
      </w:rPr>
    </w:pPr>
    <w:r>
      <w:tab/>
      <w:t>Guidance for Voluntary, Corporate Greenhouse Gas Reporting</w:t>
    </w:r>
    <w:r>
      <w:tab/>
    </w:r>
    <w:r>
      <w:rPr>
        <w:rStyle w:val="PageNumber"/>
      </w:rPr>
      <w:fldChar w:fldCharType="begin"/>
    </w:r>
    <w:r>
      <w:rPr>
        <w:rStyle w:val="PageNumber"/>
      </w:rPr>
      <w:instrText xml:space="preserve"> PAGE </w:instrText>
    </w:r>
    <w:r>
      <w:rPr>
        <w:rStyle w:val="PageNumber"/>
      </w:rPr>
      <w:fldChar w:fldCharType="separate"/>
    </w:r>
    <w:r w:rsidR="00CC0B85">
      <w:rPr>
        <w:rStyle w:val="PageNumber"/>
        <w:noProof/>
      </w:rPr>
      <w:t>v</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B4F" w:rsidRDefault="00F52B4F" w:rsidP="00D74237">
    <w:pPr>
      <w:pStyle w:val="Footereven"/>
    </w:pPr>
    <w:r w:rsidRPr="009116D7">
      <w:rPr>
        <w:rStyle w:val="PageNumber"/>
      </w:rPr>
      <w:fldChar w:fldCharType="begin"/>
    </w:r>
    <w:r w:rsidRPr="009116D7">
      <w:rPr>
        <w:rStyle w:val="PageNumber"/>
      </w:rPr>
      <w:instrText xml:space="preserve"> PAGE </w:instrText>
    </w:r>
    <w:r w:rsidRPr="009116D7">
      <w:rPr>
        <w:rStyle w:val="PageNumber"/>
      </w:rPr>
      <w:fldChar w:fldCharType="separate"/>
    </w:r>
    <w:r w:rsidR="00CC0B85">
      <w:rPr>
        <w:rStyle w:val="PageNumber"/>
        <w:noProof/>
      </w:rPr>
      <w:t>iv</w:t>
    </w:r>
    <w:r w:rsidRPr="009116D7">
      <w:rPr>
        <w:rStyle w:val="PageNumber"/>
      </w:rPr>
      <w:fldChar w:fldCharType="end"/>
    </w:r>
    <w:r>
      <w:tab/>
      <w:t>Guidance for voluntary, corporate greenhouse gas reporting</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B4F" w:rsidRDefault="00F52B4F" w:rsidP="00D74237">
    <w:pPr>
      <w:pStyle w:val="Footereven"/>
    </w:pPr>
    <w:r w:rsidRPr="009116D7">
      <w:rPr>
        <w:rStyle w:val="PageNumber"/>
      </w:rPr>
      <w:fldChar w:fldCharType="begin"/>
    </w:r>
    <w:r w:rsidRPr="009116D7">
      <w:rPr>
        <w:rStyle w:val="PageNumber"/>
      </w:rPr>
      <w:instrText xml:space="preserve"> PAGE </w:instrText>
    </w:r>
    <w:r w:rsidRPr="009116D7">
      <w:rPr>
        <w:rStyle w:val="PageNumber"/>
      </w:rPr>
      <w:fldChar w:fldCharType="separate"/>
    </w:r>
    <w:r w:rsidR="00CC0B85">
      <w:rPr>
        <w:rStyle w:val="PageNumber"/>
        <w:noProof/>
      </w:rPr>
      <w:t>38</w:t>
    </w:r>
    <w:r w:rsidRPr="009116D7">
      <w:rPr>
        <w:rStyle w:val="PageNumber"/>
      </w:rPr>
      <w:fldChar w:fldCharType="end"/>
    </w:r>
    <w:r>
      <w:tab/>
      <w:t>Guidance for voluntary greenhouse gas reporting</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B4F" w:rsidRDefault="00F52B4F" w:rsidP="003018FD">
    <w:pPr>
      <w:pStyle w:val="Footerodd"/>
      <w:rPr>
        <w:rStyle w:val="PageNumber"/>
        <w:b w:val="0"/>
      </w:rPr>
    </w:pPr>
    <w:r>
      <w:tab/>
      <w:t>Guidance for voluntary greenhouse gas reporting</w:t>
    </w:r>
    <w:r>
      <w:tab/>
    </w:r>
    <w:r>
      <w:rPr>
        <w:rStyle w:val="PageNumber"/>
      </w:rPr>
      <w:fldChar w:fldCharType="begin"/>
    </w:r>
    <w:r>
      <w:rPr>
        <w:rStyle w:val="PageNumber"/>
      </w:rPr>
      <w:instrText xml:space="preserve"> PAGE </w:instrText>
    </w:r>
    <w:r>
      <w:rPr>
        <w:rStyle w:val="PageNumber"/>
      </w:rPr>
      <w:fldChar w:fldCharType="separate"/>
    </w:r>
    <w:r w:rsidR="00CC0B85">
      <w:rPr>
        <w:rStyle w:val="PageNumber"/>
        <w:noProof/>
      </w:rPr>
      <w:t>37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B4F" w:rsidRDefault="00F52B4F" w:rsidP="00AB166D">
      <w:pPr>
        <w:spacing w:after="60"/>
      </w:pPr>
      <w:r>
        <w:separator/>
      </w:r>
    </w:p>
  </w:footnote>
  <w:footnote w:type="continuationSeparator" w:id="0">
    <w:p w:rsidR="00F52B4F" w:rsidRDefault="00F52B4F">
      <w:r>
        <w:continuationSeparator/>
      </w:r>
    </w:p>
    <w:p w:rsidR="00F52B4F" w:rsidRDefault="00F52B4F"/>
  </w:footnote>
  <w:footnote w:id="1">
    <w:p w:rsidR="00F52B4F" w:rsidRDefault="00F52B4F">
      <w:pPr>
        <w:pStyle w:val="FootnoteText"/>
      </w:pPr>
      <w:r>
        <w:rPr>
          <w:rStyle w:val="FootnoteReference"/>
        </w:rPr>
        <w:footnoteRef/>
      </w:r>
      <w:r>
        <w:t xml:space="preserve"> An explanation of scope 1, 2 and 3 emissions are provided in section 2.2 of this guidance.</w:t>
      </w:r>
    </w:p>
  </w:footnote>
  <w:footnote w:id="2">
    <w:p w:rsidR="00F52B4F" w:rsidRDefault="00F52B4F">
      <w:pPr>
        <w:pStyle w:val="FootnoteText"/>
      </w:pPr>
      <w:r>
        <w:rPr>
          <w:rStyle w:val="FootnoteReference"/>
        </w:rPr>
        <w:footnoteRef/>
      </w:r>
      <w:r>
        <w:t xml:space="preserve"> </w:t>
      </w:r>
      <w:r>
        <w:tab/>
      </w:r>
      <w:hyperlink r:id="rId1" w:history="1">
        <w:r w:rsidRPr="006C5D43">
          <w:rPr>
            <w:rStyle w:val="Hyperlink"/>
          </w:rPr>
          <w:t>https://www.gov.uk/government/collections/government-conversion-factors-for-company-reporting</w:t>
        </w:r>
      </w:hyperlink>
      <w:r>
        <w:rPr>
          <w:rStyle w:val="Hyperlink"/>
        </w:rPr>
        <w:t>.</w:t>
      </w:r>
      <w:r>
        <w:t xml:space="preserve"> </w:t>
      </w:r>
    </w:p>
  </w:footnote>
  <w:footnote w:id="3">
    <w:p w:rsidR="00F52B4F" w:rsidRDefault="00F52B4F" w:rsidP="002537CD">
      <w:pPr>
        <w:pStyle w:val="FootnoteText"/>
      </w:pPr>
      <w:r>
        <w:rPr>
          <w:rStyle w:val="FootnoteReference"/>
        </w:rPr>
        <w:footnoteRef/>
      </w:r>
      <w:r>
        <w:tab/>
      </w:r>
      <w:hyperlink r:id="rId2" w:history="1">
        <w:r w:rsidRPr="000E6CFA">
          <w:rPr>
            <w:rStyle w:val="Hyperlink"/>
          </w:rPr>
          <w:t>http://www.ghgprotocol.org/standards/product-standard</w:t>
        </w:r>
      </w:hyperlink>
      <w:r>
        <w:rPr>
          <w:rStyle w:val="Hyperlink"/>
        </w:rPr>
        <w:t>.</w:t>
      </w:r>
    </w:p>
  </w:footnote>
  <w:footnote w:id="4">
    <w:p w:rsidR="00F52B4F" w:rsidRPr="00977405" w:rsidRDefault="00F52B4F" w:rsidP="0032465A">
      <w:pPr>
        <w:pStyle w:val="FootnoteText"/>
        <w:jc w:val="left"/>
      </w:pPr>
      <w:r>
        <w:rPr>
          <w:rStyle w:val="FootnoteReference"/>
        </w:rPr>
        <w:footnoteRef/>
      </w:r>
      <w:r>
        <w:tab/>
      </w:r>
      <w:r w:rsidRPr="00977405">
        <w:t xml:space="preserve">Accredited bodies under the JAS-ANZ Register may be found at: </w:t>
      </w:r>
      <w:r>
        <w:br/>
      </w:r>
      <w:hyperlink r:id="rId3" w:history="1">
        <w:r w:rsidRPr="006C0249">
          <w:rPr>
            <w:rStyle w:val="Hyperlink"/>
          </w:rPr>
          <w:t>www.jas-anz.org/index.php?option=com_content&amp;task=blogcategory&amp;id=44&amp;Itemid=1</w:t>
        </w:r>
      </w:hyperlink>
      <w:r>
        <w:t>.</w:t>
      </w:r>
    </w:p>
  </w:footnote>
  <w:footnote w:id="5">
    <w:p w:rsidR="00F52B4F" w:rsidRPr="006E2686" w:rsidRDefault="00F52B4F" w:rsidP="0032465A">
      <w:pPr>
        <w:pStyle w:val="FootnoteText"/>
        <w:jc w:val="left"/>
      </w:pPr>
      <w:r w:rsidRPr="002537CD">
        <w:rPr>
          <w:rStyle w:val="FootnoteReference"/>
        </w:rPr>
        <w:footnoteRef/>
      </w:r>
      <w:r>
        <w:tab/>
      </w:r>
      <w:r w:rsidRPr="00BD3884">
        <w:t>A list of DOEs can be found at</w:t>
      </w:r>
      <w:r w:rsidRPr="00901CCD">
        <w:t xml:space="preserve"> </w:t>
      </w:r>
      <w:hyperlink r:id="rId4" w:history="1">
        <w:r w:rsidRPr="00790962">
          <w:rPr>
            <w:rStyle w:val="Hyperlink"/>
          </w:rPr>
          <w:t>http://cdm.unfccc.int/DOE/list/index.html</w:t>
        </w:r>
      </w:hyperlink>
      <w:r>
        <w:t>.</w:t>
      </w:r>
    </w:p>
  </w:footnote>
  <w:footnote w:id="6">
    <w:p w:rsidR="00F52B4F" w:rsidRPr="002537CD" w:rsidRDefault="00F52B4F" w:rsidP="002537CD">
      <w:pPr>
        <w:pStyle w:val="FootnoteText"/>
      </w:pPr>
      <w:r w:rsidRPr="002537CD">
        <w:rPr>
          <w:rStyle w:val="FootnoteReference"/>
        </w:rPr>
        <w:footnoteRef/>
      </w:r>
      <w:r>
        <w:tab/>
        <w:t xml:space="preserve">For example, the </w:t>
      </w:r>
      <w:r w:rsidRPr="00850916">
        <w:t>CH</w:t>
      </w:r>
      <w:r w:rsidRPr="00A0507A">
        <w:rPr>
          <w:szCs w:val="12"/>
          <w:vertAlign w:val="subscript"/>
        </w:rPr>
        <w:t>4</w:t>
      </w:r>
      <w:r>
        <w:t xml:space="preserve"> and</w:t>
      </w:r>
      <w:r>
        <w:rPr>
          <w:sz w:val="14"/>
          <w:szCs w:val="14"/>
        </w:rPr>
        <w:t xml:space="preserve"> </w:t>
      </w:r>
      <w:r>
        <w:t>N</w:t>
      </w:r>
      <w:r w:rsidRPr="001C5C5A">
        <w:rPr>
          <w:vertAlign w:val="subscript"/>
        </w:rPr>
        <w:t>2</w:t>
      </w:r>
      <w:r>
        <w:t>O emission facto</w:t>
      </w:r>
      <w:r w:rsidRPr="009653AF">
        <w:t>rs for diesel used for industrial heating are different to the C</w:t>
      </w:r>
      <w:r>
        <w:t>H</w:t>
      </w:r>
      <w:r w:rsidRPr="001C5C5A">
        <w:rPr>
          <w:vertAlign w:val="subscript"/>
        </w:rPr>
        <w:t xml:space="preserve">4 </w:t>
      </w:r>
      <w:r w:rsidRPr="009653AF">
        <w:t>and N</w:t>
      </w:r>
      <w:r w:rsidRPr="001C5C5A">
        <w:rPr>
          <w:vertAlign w:val="subscript"/>
        </w:rPr>
        <w:t>2</w:t>
      </w:r>
      <w:r>
        <w:t>O</w:t>
      </w:r>
      <w:r w:rsidRPr="009653AF">
        <w:t xml:space="preserve"> emission factors for diesel used</w:t>
      </w:r>
      <w:r>
        <w:t xml:space="preserve"> in vehicles.</w:t>
      </w:r>
    </w:p>
  </w:footnote>
  <w:footnote w:id="7">
    <w:p w:rsidR="00F52B4F" w:rsidRPr="00B84049" w:rsidRDefault="00F52B4F" w:rsidP="0067451B">
      <w:pPr>
        <w:pStyle w:val="FootnoteText"/>
        <w:jc w:val="left"/>
      </w:pPr>
      <w:r w:rsidRPr="003D1CA0">
        <w:rPr>
          <w:rStyle w:val="FootnoteReference"/>
        </w:rPr>
        <w:footnoteRef/>
      </w:r>
      <w:r>
        <w:tab/>
        <w:t>Real world fuel consumption rates for non-hybrids are based off Wang et al, Real-world fuel efficiency of light vehicles in New Zealand. Hybrid vehicles are based off fuel consumption values provided by the Energy Efficiency and Conservation Authority (EECA).</w:t>
      </w:r>
    </w:p>
  </w:footnote>
  <w:footnote w:id="8">
    <w:p w:rsidR="00F52B4F" w:rsidRPr="00445F71" w:rsidRDefault="00F52B4F" w:rsidP="0067451B">
      <w:pPr>
        <w:pStyle w:val="FootnoteText"/>
        <w:jc w:val="left"/>
      </w:pPr>
      <w:r w:rsidRPr="003D1CA0">
        <w:rPr>
          <w:rStyle w:val="FootnoteReference"/>
        </w:rPr>
        <w:footnoteRef/>
      </w:r>
      <w:r>
        <w:tab/>
      </w:r>
      <w:r w:rsidRPr="003B2F53">
        <w:t>In 201</w:t>
      </w:r>
      <w:r>
        <w:t>4</w:t>
      </w:r>
      <w:r w:rsidRPr="003B2F53">
        <w:t xml:space="preserve">, </w:t>
      </w:r>
      <w:r>
        <w:t>38</w:t>
      </w:r>
      <w:r w:rsidRPr="003B2F53">
        <w:t xml:space="preserve"> per cent of new light petrol vehicles sold in New Zealand were in the</w:t>
      </w:r>
      <w:r>
        <w:t xml:space="preserve"> 2000 – 3000 cc category</w:t>
      </w:r>
      <w:r w:rsidRPr="003B2F53">
        <w:t>. (</w:t>
      </w:r>
      <w:r w:rsidRPr="003B2F53">
        <w:rPr>
          <w:i/>
        </w:rPr>
        <w:t>Source</w:t>
      </w:r>
      <w:r w:rsidRPr="003B2F53">
        <w:t>: Ministry of Transport 201</w:t>
      </w:r>
      <w:r>
        <w:t>6</w:t>
      </w:r>
      <w:r w:rsidRPr="003B2F53">
        <w:t xml:space="preserve"> NZ vehicle fleet annual statistics).</w:t>
      </w:r>
    </w:p>
  </w:footnote>
  <w:footnote w:id="9">
    <w:p w:rsidR="00F52B4F" w:rsidRDefault="00F52B4F" w:rsidP="0033688C">
      <w:pPr>
        <w:pStyle w:val="FootnoteText"/>
      </w:pPr>
      <w:r w:rsidRPr="0033688C">
        <w:rPr>
          <w:rStyle w:val="FootnoteReference"/>
        </w:rPr>
        <w:footnoteRef/>
      </w:r>
      <w:r>
        <w:tab/>
        <w:t xml:space="preserve">Available at </w:t>
      </w:r>
      <w:hyperlink r:id="rId5" w:history="1">
        <w:r w:rsidRPr="006C0249">
          <w:rPr>
            <w:rStyle w:val="Hyperlink"/>
          </w:rPr>
          <w:t>www.ipcc.ch/pdf/assessment-report/ar4/wg1/ar4-wg1-chapter2.pdf</w:t>
        </w:r>
      </w:hyperlink>
      <w:r>
        <w:t>.</w:t>
      </w:r>
    </w:p>
  </w:footnote>
  <w:footnote w:id="10">
    <w:p w:rsidR="00F52B4F" w:rsidRPr="006E7A5B" w:rsidRDefault="00F52B4F" w:rsidP="0033688C">
      <w:pPr>
        <w:pStyle w:val="FootnoteText"/>
      </w:pPr>
      <w:r w:rsidRPr="0033688C">
        <w:rPr>
          <w:rStyle w:val="FootnoteReference"/>
        </w:rPr>
        <w:footnoteRef/>
      </w:r>
      <w:r>
        <w:tab/>
      </w:r>
      <w:r w:rsidRPr="008E08E3">
        <w:t xml:space="preserve">It does not cover </w:t>
      </w:r>
      <w:r>
        <w:t>on-site, self-</w:t>
      </w:r>
      <w:r w:rsidRPr="00FC7F7D">
        <w:t>generation</w:t>
      </w:r>
      <w:r>
        <w:t xml:space="preserve"> of electricity.</w:t>
      </w:r>
    </w:p>
  </w:footnote>
  <w:footnote w:id="11">
    <w:p w:rsidR="00F52B4F" w:rsidRPr="003D276A" w:rsidRDefault="00F52B4F" w:rsidP="00E328F0">
      <w:pPr>
        <w:pStyle w:val="FootnoteText"/>
        <w:jc w:val="left"/>
      </w:pPr>
      <w:r w:rsidRPr="004330E8">
        <w:rPr>
          <w:rStyle w:val="FootnoteReference"/>
        </w:rPr>
        <w:footnoteRef/>
      </w:r>
      <w:r>
        <w:tab/>
      </w:r>
      <w:r w:rsidRPr="00114B18">
        <w:t xml:space="preserve">Major electricity users need to be aware that a losses allowance may already be included </w:t>
      </w:r>
      <w:r>
        <w:t>i</w:t>
      </w:r>
      <w:r w:rsidRPr="00114B18">
        <w:t>n their electricity invoices.</w:t>
      </w:r>
    </w:p>
  </w:footnote>
  <w:footnote w:id="12">
    <w:p w:rsidR="00F52B4F" w:rsidRPr="003D276A" w:rsidRDefault="00F52B4F" w:rsidP="00E328F0">
      <w:pPr>
        <w:pStyle w:val="FootnoteText"/>
        <w:jc w:val="left"/>
      </w:pPr>
      <w:r w:rsidRPr="004330E8">
        <w:rPr>
          <w:rStyle w:val="FootnoteReference"/>
        </w:rPr>
        <w:footnoteRef/>
      </w:r>
      <w:r>
        <w:tab/>
        <w:t>‘</w:t>
      </w:r>
      <w:r w:rsidRPr="00114B18">
        <w:t>Distributed</w:t>
      </w:r>
      <w:r>
        <w:t>’</w:t>
      </w:r>
      <w:r w:rsidRPr="00114B18">
        <w:t xml:space="preserve"> refers to natural gas distributed via low pressure, local distribution networks.</w:t>
      </w:r>
    </w:p>
  </w:footnote>
  <w:footnote w:id="13">
    <w:p w:rsidR="00F52B4F" w:rsidRDefault="00F52B4F" w:rsidP="00E328F0">
      <w:pPr>
        <w:pStyle w:val="FootnoteText"/>
        <w:jc w:val="left"/>
      </w:pPr>
      <w:r w:rsidRPr="004330E8">
        <w:rPr>
          <w:rStyle w:val="FootnoteReference"/>
        </w:rPr>
        <w:footnoteRef/>
      </w:r>
      <w:r>
        <w:tab/>
        <w:t>Emission factors are presented based on gas used in both kWh and GJ. Use whichever one matches the unit used in your natural gas consumption data.</w:t>
      </w:r>
    </w:p>
  </w:footnote>
  <w:footnote w:id="14">
    <w:p w:rsidR="00F52B4F" w:rsidRPr="00492836" w:rsidRDefault="00F52B4F" w:rsidP="00E328F0">
      <w:pPr>
        <w:pStyle w:val="FootnoteText"/>
        <w:jc w:val="left"/>
      </w:pPr>
      <w:r w:rsidRPr="00B44542">
        <w:rPr>
          <w:rStyle w:val="FootnoteReference"/>
        </w:rPr>
        <w:footnoteRef/>
      </w:r>
      <w:r>
        <w:tab/>
      </w:r>
      <w:r w:rsidRPr="00492836">
        <w:t>https://www.gov.uk/government/publications/greenhouse-gas-reporting-conversion-factors-2016</w:t>
      </w:r>
    </w:p>
    <w:p w:rsidR="00F52B4F" w:rsidRDefault="00F52B4F" w:rsidP="00B44542">
      <w:pPr>
        <w:pStyle w:val="FootnoteText"/>
      </w:pPr>
    </w:p>
  </w:footnote>
  <w:footnote w:id="15">
    <w:p w:rsidR="00F52B4F" w:rsidRPr="00B84049" w:rsidRDefault="00F52B4F" w:rsidP="00300F7D">
      <w:pPr>
        <w:pStyle w:val="FootnoteText"/>
        <w:jc w:val="left"/>
      </w:pPr>
      <w:r w:rsidRPr="00B44542">
        <w:rPr>
          <w:rStyle w:val="FootnoteReference"/>
        </w:rPr>
        <w:footnoteRef/>
      </w:r>
      <w:r>
        <w:tab/>
      </w:r>
      <w:r w:rsidRPr="00B84049">
        <w:t>Where CH</w:t>
      </w:r>
      <w:r w:rsidRPr="0079681F">
        <w:rPr>
          <w:vertAlign w:val="subscript"/>
        </w:rPr>
        <w:t>4</w:t>
      </w:r>
      <w:r w:rsidRPr="00B84049">
        <w:t xml:space="preserve"> is recovered and flared or combusted for energy, </w:t>
      </w:r>
      <w:r w:rsidRPr="007174A1">
        <w:t>the CO</w:t>
      </w:r>
      <w:r w:rsidRPr="007174A1">
        <w:rPr>
          <w:vertAlign w:val="subscript"/>
        </w:rPr>
        <w:t>2</w:t>
      </w:r>
      <w:r w:rsidRPr="007174A1">
        <w:t xml:space="preserve"> emitted from the combustion process is regarded as part of the natural carbon cycle</w:t>
      </w:r>
      <w:r>
        <w:t>.</w:t>
      </w:r>
    </w:p>
  </w:footnote>
  <w:footnote w:id="16">
    <w:p w:rsidR="00F52B4F" w:rsidRPr="00884E29" w:rsidRDefault="00F52B4F" w:rsidP="00300F7D">
      <w:pPr>
        <w:pStyle w:val="FootnoteText"/>
        <w:jc w:val="left"/>
      </w:pPr>
      <w:r w:rsidRPr="00884E29">
        <w:rPr>
          <w:rStyle w:val="FootnoteReference"/>
        </w:rPr>
        <w:footnoteRef/>
      </w:r>
      <w:r>
        <w:tab/>
      </w:r>
      <w:r w:rsidRPr="00B84049">
        <w:t>It also allows you to take into account reductions in emission</w:t>
      </w:r>
      <w:r>
        <w:t>s</w:t>
      </w:r>
      <w:r w:rsidRPr="00B84049">
        <w:t xml:space="preserve"> from altering the composition of your waste (as opposed to just reducing your waste). For example, reducing the amount of paper going to landfill will result in a significantly lower emission factor for waste.</w:t>
      </w:r>
    </w:p>
  </w:footnote>
  <w:footnote w:id="17">
    <w:p w:rsidR="00F52B4F" w:rsidRDefault="00F52B4F" w:rsidP="008A0AFC">
      <w:pPr>
        <w:pStyle w:val="FootnoteText"/>
        <w:jc w:val="left"/>
      </w:pPr>
      <w:r w:rsidRPr="00212CC9">
        <w:rPr>
          <w:rStyle w:val="FootnoteReference"/>
        </w:rPr>
        <w:footnoteRef/>
      </w:r>
      <w:r>
        <w:tab/>
        <w:t>Note that some values may not multiply or add exactly as they have been rounded.</w:t>
      </w:r>
    </w:p>
  </w:footnote>
  <w:footnote w:id="18">
    <w:p w:rsidR="00F52B4F" w:rsidRDefault="00F52B4F" w:rsidP="008A0AFC">
      <w:pPr>
        <w:pStyle w:val="FootnoteText"/>
        <w:jc w:val="left"/>
      </w:pPr>
      <w:r w:rsidRPr="00212CC9">
        <w:rPr>
          <w:rStyle w:val="FootnoteReference"/>
        </w:rPr>
        <w:footnoteRef/>
      </w:r>
      <w:r>
        <w:tab/>
        <w:t>Tonnes CO</w:t>
      </w:r>
      <w:r w:rsidRPr="00BC4825">
        <w:rPr>
          <w:vertAlign w:val="subscript"/>
        </w:rPr>
        <w:t>2</w:t>
      </w:r>
      <w:r>
        <w:t>/TJ = kg CO</w:t>
      </w:r>
      <w:r w:rsidRPr="00BC4825">
        <w:rPr>
          <w:vertAlign w:val="subscript"/>
        </w:rPr>
        <w:t>2</w:t>
      </w:r>
      <w:r>
        <w:t>/GJ. Division by 1000 converts this to kg CO</w:t>
      </w:r>
      <w:r w:rsidRPr="00BC4825">
        <w:rPr>
          <w:vertAlign w:val="subscript"/>
        </w:rPr>
        <w:t>2</w:t>
      </w:r>
      <w:r>
        <w:t>/MJ, consistent with the calorific value (MJ/unit of activity).</w:t>
      </w:r>
    </w:p>
  </w:footnote>
  <w:footnote w:id="19">
    <w:p w:rsidR="00F52B4F" w:rsidRDefault="00F52B4F" w:rsidP="008A0AFC">
      <w:pPr>
        <w:pStyle w:val="FootnoteText"/>
        <w:jc w:val="left"/>
      </w:pPr>
      <w:r w:rsidRPr="00480433">
        <w:rPr>
          <w:rStyle w:val="FootnoteReference"/>
        </w:rPr>
        <w:footnoteRef/>
      </w:r>
      <w:r>
        <w:tab/>
        <w:t>‘Total full charge’ refers to the full, original charge of the equipment rather than to the actual charge, which may reflect leakage.</w:t>
      </w:r>
    </w:p>
  </w:footnote>
  <w:footnote w:id="20">
    <w:p w:rsidR="00F52B4F" w:rsidRDefault="00F52B4F" w:rsidP="00B51D16">
      <w:pPr>
        <w:pStyle w:val="FootnoteText"/>
        <w:spacing w:before="0"/>
        <w:jc w:val="left"/>
      </w:pPr>
      <w:r w:rsidRPr="005E691D">
        <w:rPr>
          <w:rStyle w:val="FootnoteReference"/>
        </w:rPr>
        <w:footnoteRef/>
      </w:r>
      <w:r>
        <w:tab/>
        <w:t>In the absence of consistent information for New Zealand, the default assumption for the assembly (installation) emissions rate is the rounded-off IPCC 2006 mid-range value. It is not applicable (relevant) for many pre-charged units.</w:t>
      </w:r>
    </w:p>
  </w:footnote>
  <w:footnote w:id="21">
    <w:p w:rsidR="00F52B4F" w:rsidRDefault="00F52B4F" w:rsidP="00B51D16">
      <w:pPr>
        <w:pStyle w:val="FootnoteText"/>
        <w:jc w:val="left"/>
      </w:pPr>
      <w:r w:rsidRPr="005E691D">
        <w:rPr>
          <w:rStyle w:val="FootnoteReference"/>
        </w:rPr>
        <w:footnoteRef/>
      </w:r>
      <w:r>
        <w:tab/>
        <w:t>Internal dimensions up to 100x50x30cm for 150 litres; 150x50x40cm for 300 litres; 200x50x50cm for 500 litres.</w:t>
      </w:r>
    </w:p>
  </w:footnote>
  <w:footnote w:id="22">
    <w:p w:rsidR="00F52B4F" w:rsidRDefault="00F52B4F" w:rsidP="00D81522">
      <w:pPr>
        <w:pStyle w:val="FootnoteText"/>
      </w:pPr>
      <w:r w:rsidRPr="00D73F9D">
        <w:rPr>
          <w:rStyle w:val="FootnoteReference"/>
        </w:rPr>
        <w:footnoteRef/>
      </w:r>
      <w:r>
        <w:tab/>
        <w:t xml:space="preserve">Global warming potentials are set according to the </w:t>
      </w:r>
      <w:r>
        <w:rPr>
          <w:i/>
        </w:rPr>
        <w:t>2006</w:t>
      </w:r>
      <w:r w:rsidRPr="00765ED6">
        <w:rPr>
          <w:i/>
        </w:rPr>
        <w:t xml:space="preserve"> IPCC Guidelines for National Greenhouse Gas Inventories</w:t>
      </w:r>
      <w:r>
        <w:t xml:space="preserve">, Intergovernmental Panel on Climate Change </w:t>
      </w:r>
      <w:r w:rsidRPr="00A87D3A">
        <w:t>http://www.ipcc.ch/</w:t>
      </w:r>
      <w:r>
        <w:t>.</w:t>
      </w:r>
    </w:p>
  </w:footnote>
  <w:footnote w:id="23">
    <w:p w:rsidR="00F52B4F" w:rsidRDefault="00F52B4F" w:rsidP="007D0ACA">
      <w:pPr>
        <w:pStyle w:val="FootnoteText"/>
        <w:jc w:val="left"/>
      </w:pPr>
      <w:r w:rsidRPr="00AC27F5">
        <w:rPr>
          <w:rStyle w:val="FootnoteReference"/>
        </w:rPr>
        <w:footnoteRef/>
      </w:r>
      <w:r>
        <w:tab/>
        <w:t xml:space="preserve">This </w:t>
      </w:r>
      <w:r w:rsidRPr="00504E91">
        <w:t>example is unlikely to happen for a few years until the relatively recent R407C and R410A equipment are being retired.</w:t>
      </w:r>
      <w:r>
        <w:t xml:space="preserve"> </w:t>
      </w:r>
      <w:r w:rsidRPr="00504E91">
        <w:t>R22 is more likely to be the retired refrigerant currently and this is omitted from the accounting because it is not a HFC.</w:t>
      </w:r>
    </w:p>
  </w:footnote>
  <w:footnote w:id="24">
    <w:p w:rsidR="00F52B4F" w:rsidRDefault="00F52B4F" w:rsidP="00F67D93">
      <w:pPr>
        <w:pStyle w:val="FootnoteText"/>
        <w:jc w:val="left"/>
      </w:pPr>
      <w:r w:rsidRPr="00AC27F5">
        <w:rPr>
          <w:rStyle w:val="FootnoteReference"/>
        </w:rPr>
        <w:footnoteRef/>
      </w:r>
      <w:r>
        <w:tab/>
        <w:t>As global warming potentials are different for the air-conditioning units they are calculated separately here.</w:t>
      </w:r>
    </w:p>
  </w:footnote>
  <w:footnote w:id="25">
    <w:p w:rsidR="00F52B4F" w:rsidRPr="00C40C36" w:rsidRDefault="00F52B4F" w:rsidP="00F67D93">
      <w:pPr>
        <w:pStyle w:val="FootnoteText"/>
        <w:jc w:val="left"/>
      </w:pPr>
      <w:r w:rsidRPr="006C3411">
        <w:rPr>
          <w:rStyle w:val="FootnoteReference"/>
        </w:rPr>
        <w:footnoteRef/>
      </w:r>
      <w:r>
        <w:tab/>
        <w:t xml:space="preserve">0.05 is published within the national greenhouse gas inventory  as the average methane generation potential of solid waste. </w:t>
      </w:r>
    </w:p>
  </w:footnote>
  <w:footnote w:id="26">
    <w:p w:rsidR="00F52B4F" w:rsidRDefault="00F52B4F" w:rsidP="00F67D93">
      <w:pPr>
        <w:pStyle w:val="FootnoteText"/>
        <w:jc w:val="left"/>
      </w:pPr>
      <w:r w:rsidRPr="009C707C">
        <w:rPr>
          <w:rStyle w:val="FootnoteReference"/>
        </w:rPr>
        <w:footnoteRef/>
      </w:r>
      <w:r>
        <w:tab/>
        <w:t xml:space="preserve">These figures represent an assumed default composition (paper: 53.6 per cent, garden and food: 20.8 per cent and wood: 0 per cent) for office waste, based on waste data from government </w:t>
      </w:r>
      <w:r w:rsidRPr="004266DB">
        <w:t>buildings</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B4F" w:rsidRDefault="00F52B4F" w:rsidP="00F51F59">
    <w:pPr>
      <w:pStyle w:val="Header"/>
      <w:ind w:left="-57"/>
      <w:jc w:val="left"/>
    </w:pPr>
    <w:r>
      <w:rPr>
        <w:noProof/>
        <w:lang w:eastAsia="en-NZ"/>
      </w:rPr>
      <w:drawing>
        <wp:inline distT="0" distB="0" distL="0" distR="0" wp14:anchorId="387D90D0" wp14:editId="4429551A">
          <wp:extent cx="2427605" cy="690245"/>
          <wp:effectExtent l="19050" t="0" r="0" b="0"/>
          <wp:docPr id="2" name="Picture 2" descr="BW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W_Logo"/>
                  <pic:cNvPicPr>
                    <a:picLocks noChangeAspect="1" noChangeArrowheads="1"/>
                  </pic:cNvPicPr>
                </pic:nvPicPr>
                <pic:blipFill>
                  <a:blip r:embed="rId1"/>
                  <a:srcRect l="2927" t="8191" r="2281" b="7092"/>
                  <a:stretch>
                    <a:fillRect/>
                  </a:stretch>
                </pic:blipFill>
                <pic:spPr bwMode="auto">
                  <a:xfrm>
                    <a:off x="0" y="0"/>
                    <a:ext cx="2427605" cy="69024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B4F" w:rsidRDefault="00F52B4F" w:rsidP="0058752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B4F" w:rsidRDefault="00F52B4F" w:rsidP="00587528"/>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B4F" w:rsidRDefault="00F52B4F" w:rsidP="0058752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B4F" w:rsidRDefault="00F52B4F"/>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B4F" w:rsidRPr="0032465A" w:rsidRDefault="00F52B4F" w:rsidP="003246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D3AA66E"/>
    <w:lvl w:ilvl="0">
      <w:numFmt w:val="decimal"/>
      <w:lvlText w:val="*"/>
      <w:lvlJc w:val="left"/>
    </w:lvl>
  </w:abstractNum>
  <w:abstractNum w:abstractNumId="1">
    <w:nsid w:val="00480620"/>
    <w:multiLevelType w:val="multilevel"/>
    <w:tmpl w:val="C31C7C12"/>
    <w:lvl w:ilvl="0">
      <w:start w:val="1"/>
      <w:numFmt w:val="bullet"/>
      <w:lvlText w:val=""/>
      <w:lvlJc w:val="left"/>
      <w:pPr>
        <w:tabs>
          <w:tab w:val="num" w:pos="284"/>
        </w:tabs>
        <w:ind w:left="284" w:hanging="284"/>
      </w:pPr>
      <w:rPr>
        <w:rFonts w:ascii="Symbol" w:hAnsi="Symbol" w:hint="default"/>
        <w:color w:val="auto"/>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4B67626"/>
    <w:multiLevelType w:val="hybridMultilevel"/>
    <w:tmpl w:val="8D184994"/>
    <w:lvl w:ilvl="0" w:tplc="DB9C7798">
      <w:start w:val="1"/>
      <w:numFmt w:val="decimal"/>
      <w:pStyle w:val="Numberedparagraph"/>
      <w:lvlText w:val="%1."/>
      <w:lvlJc w:val="left"/>
      <w:pPr>
        <w:tabs>
          <w:tab w:val="num" w:pos="397"/>
        </w:tabs>
        <w:ind w:left="397"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3">
    <w:nsid w:val="06A776AD"/>
    <w:multiLevelType w:val="hybridMultilevel"/>
    <w:tmpl w:val="89D66F08"/>
    <w:lvl w:ilvl="0" w:tplc="F412F910">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nsid w:val="08E86BB6"/>
    <w:multiLevelType w:val="multilevel"/>
    <w:tmpl w:val="D17E8F98"/>
    <w:lvl w:ilvl="0">
      <w:start w:val="1"/>
      <w:numFmt w:val="lowerLetter"/>
      <w:lvlText w:val="%1."/>
      <w:lvlJc w:val="left"/>
      <w:pPr>
        <w:tabs>
          <w:tab w:val="num" w:pos="794"/>
        </w:tabs>
        <w:ind w:left="794" w:hanging="397"/>
      </w:pPr>
      <w:rPr>
        <w:rFonts w:ascii="Times New Roman" w:hAnsi="Times New Roman"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EDA642E"/>
    <w:multiLevelType w:val="multilevel"/>
    <w:tmpl w:val="1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0FAB4B16"/>
    <w:multiLevelType w:val="multilevel"/>
    <w:tmpl w:val="4D52D61C"/>
    <w:lvl w:ilvl="0">
      <w:start w:val="1"/>
      <w:numFmt w:val="bullet"/>
      <w:lvlText w:val=""/>
      <w:lvlJc w:val="left"/>
      <w:pPr>
        <w:tabs>
          <w:tab w:val="num" w:pos="964"/>
        </w:tabs>
        <w:ind w:left="964"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2BD0FD6"/>
    <w:multiLevelType w:val="hybridMultilevel"/>
    <w:tmpl w:val="462A29F8"/>
    <w:lvl w:ilvl="0" w:tplc="831C7086">
      <w:start w:val="1"/>
      <w:numFmt w:val="decimal"/>
      <w:lvlText w:val="%1"/>
      <w:lvlJc w:val="left"/>
      <w:pPr>
        <w:tabs>
          <w:tab w:val="num" w:pos="794"/>
        </w:tabs>
        <w:ind w:left="794" w:firstLine="0"/>
      </w:pPr>
      <w:rPr>
        <w:rFonts w:ascii="Times New Roman" w:hAnsi="Times New Roman"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8">
    <w:nsid w:val="17745FB7"/>
    <w:multiLevelType w:val="multilevel"/>
    <w:tmpl w:val="4ABA2070"/>
    <w:lvl w:ilvl="0">
      <w:start w:val="1"/>
      <w:numFmt w:val="lowerRoman"/>
      <w:lvlText w:val="%1."/>
      <w:lvlJc w:val="left"/>
      <w:pPr>
        <w:tabs>
          <w:tab w:val="num" w:pos="1191"/>
        </w:tabs>
        <w:ind w:left="1191" w:hanging="397"/>
      </w:pPr>
      <w:rPr>
        <w:rFonts w:ascii="Times New Roman" w:hAnsi="Times New Roman" w:cs="Arial"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063350B"/>
    <w:multiLevelType w:val="multilevel"/>
    <w:tmpl w:val="1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208C5CF5"/>
    <w:multiLevelType w:val="hybridMultilevel"/>
    <w:tmpl w:val="5C26AB5C"/>
    <w:lvl w:ilvl="0" w:tplc="26E6CC28">
      <w:start w:val="1"/>
      <w:numFmt w:val="lowerLetter"/>
      <w:pStyle w:val="Sub-lista"/>
      <w:lvlText w:val="%1."/>
      <w:lvlJc w:val="left"/>
      <w:pPr>
        <w:tabs>
          <w:tab w:val="num" w:pos="794"/>
        </w:tabs>
        <w:ind w:left="794" w:hanging="397"/>
      </w:pPr>
      <w:rPr>
        <w:rFonts w:ascii="Times New Roman" w:hAnsi="Times New Roman"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1">
    <w:nsid w:val="210C01F6"/>
    <w:multiLevelType w:val="hybridMultilevel"/>
    <w:tmpl w:val="7C6E03E4"/>
    <w:lvl w:ilvl="0" w:tplc="4AA056C0">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nsid w:val="25696FE4"/>
    <w:multiLevelType w:val="hybridMultilevel"/>
    <w:tmpl w:val="82522BE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nsid w:val="291D7A91"/>
    <w:multiLevelType w:val="hybridMultilevel"/>
    <w:tmpl w:val="B3F44F74"/>
    <w:lvl w:ilvl="0" w:tplc="83467AC4">
      <w:start w:val="3"/>
      <w:numFmt w:val="decimal"/>
      <w:lvlText w:val="%1."/>
      <w:lvlJc w:val="left"/>
      <w:pPr>
        <w:tabs>
          <w:tab w:val="num" w:pos="504"/>
        </w:tabs>
        <w:ind w:left="504" w:hanging="504"/>
      </w:pPr>
      <w:rPr>
        <w:rFonts w:hint="default"/>
      </w:rPr>
    </w:lvl>
    <w:lvl w:ilvl="1" w:tplc="642A204E">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9F3C14"/>
    <w:multiLevelType w:val="hybridMultilevel"/>
    <w:tmpl w:val="223E17F0"/>
    <w:lvl w:ilvl="0" w:tplc="8B6E9532">
      <w:start w:val="1"/>
      <w:numFmt w:val="decimal"/>
      <w:lvlText w:val="%1"/>
      <w:lvlJc w:val="left"/>
      <w:pPr>
        <w:tabs>
          <w:tab w:val="num" w:pos="1134"/>
        </w:tabs>
        <w:ind w:left="1134" w:hanging="567"/>
      </w:pPr>
      <w:rPr>
        <w:rFonts w:ascii="Times New Roman" w:hAnsi="Times New Roman" w:cs="Times New Roman" w:hint="default"/>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5">
    <w:nsid w:val="2EBB020B"/>
    <w:multiLevelType w:val="multilevel"/>
    <w:tmpl w:val="1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F4F1D27"/>
    <w:multiLevelType w:val="multilevel"/>
    <w:tmpl w:val="C8587F54"/>
    <w:lvl w:ilvl="0">
      <w:start w:val="1"/>
      <w:numFmt w:val="decimal"/>
      <w:lvlText w:val="%1."/>
      <w:lvlJc w:val="left"/>
      <w:pPr>
        <w:tabs>
          <w:tab w:val="num" w:pos="1134"/>
        </w:tabs>
        <w:ind w:left="1134" w:hanging="567"/>
      </w:pPr>
      <w:rPr>
        <w:rFonts w:ascii="Times New Roman" w:hAnsi="Times New Roman" w:cs="Times New Roman"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4EC12F5"/>
    <w:multiLevelType w:val="multilevel"/>
    <w:tmpl w:val="1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D273F92"/>
    <w:multiLevelType w:val="multilevel"/>
    <w:tmpl w:val="D82CBA4E"/>
    <w:lvl w:ilvl="0">
      <w:start w:val="1"/>
      <w:numFmt w:val="decimal"/>
      <w:lvlText w:val="%1"/>
      <w:lvlJc w:val="left"/>
      <w:pPr>
        <w:tabs>
          <w:tab w:val="num" w:pos="567"/>
        </w:tabs>
        <w:ind w:left="567" w:hanging="567"/>
      </w:pPr>
      <w:rPr>
        <w:rFonts w:ascii="Times New Roman" w:hAnsi="Times New Roman" w:cs="Arial"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DBC16EB"/>
    <w:multiLevelType w:val="hybridMultilevel"/>
    <w:tmpl w:val="CD40A718"/>
    <w:lvl w:ilvl="0" w:tplc="6BA2C024">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427701FB"/>
    <w:multiLevelType w:val="hybridMultilevel"/>
    <w:tmpl w:val="87A07910"/>
    <w:lvl w:ilvl="0" w:tplc="C04A679E">
      <w:start w:val="1"/>
      <w:numFmt w:val="bullet"/>
      <w:pStyle w:val="Dash"/>
      <w:lvlText w:val=""/>
      <w:lvlJc w:val="left"/>
      <w:pPr>
        <w:tabs>
          <w:tab w:val="num" w:pos="397"/>
        </w:tabs>
        <w:ind w:left="397" w:firstLine="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1">
    <w:nsid w:val="440B17DC"/>
    <w:multiLevelType w:val="hybridMultilevel"/>
    <w:tmpl w:val="F0384DBE"/>
    <w:lvl w:ilvl="0" w:tplc="0A189278">
      <w:start w:val="1"/>
      <w:numFmt w:val="bullet"/>
      <w:pStyle w:val="TableBullet"/>
      <w:lvlText w:val=""/>
      <w:lvlJc w:val="left"/>
      <w:pPr>
        <w:tabs>
          <w:tab w:val="num" w:pos="284"/>
        </w:tabs>
        <w:ind w:left="284" w:hanging="284"/>
      </w:pPr>
      <w:rPr>
        <w:rFonts w:ascii="Symbol" w:hAnsi="Symbol" w:hint="default"/>
        <w:sz w:val="16"/>
        <w:szCs w:val="16"/>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2">
    <w:nsid w:val="463D6104"/>
    <w:multiLevelType w:val="hybridMultilevel"/>
    <w:tmpl w:val="4ABA2070"/>
    <w:lvl w:ilvl="0" w:tplc="5308CA02">
      <w:start w:val="1"/>
      <w:numFmt w:val="lowerRoman"/>
      <w:pStyle w:val="Sub-listi"/>
      <w:lvlText w:val="%1."/>
      <w:lvlJc w:val="left"/>
      <w:pPr>
        <w:tabs>
          <w:tab w:val="num" w:pos="1191"/>
        </w:tabs>
        <w:ind w:left="1191"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23">
    <w:nsid w:val="4DA27E85"/>
    <w:multiLevelType w:val="multilevel"/>
    <w:tmpl w:val="827AE84A"/>
    <w:lvl w:ilvl="0">
      <w:start w:val="1"/>
      <w:numFmt w:val="lowerLetter"/>
      <w:lvlText w:val="%1"/>
      <w:lvlJc w:val="left"/>
      <w:pPr>
        <w:tabs>
          <w:tab w:val="num" w:pos="794"/>
        </w:tabs>
        <w:ind w:left="794" w:hanging="397"/>
      </w:pPr>
      <w:rPr>
        <w:rFonts w:ascii="Times New Roman" w:hAnsi="Times New Roman"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ECA60AA"/>
    <w:multiLevelType w:val="multilevel"/>
    <w:tmpl w:val="BAE8D0A4"/>
    <w:lvl w:ilvl="0">
      <w:start w:val="1"/>
      <w:numFmt w:val="lowerRoman"/>
      <w:lvlText w:val="%1"/>
      <w:lvlJc w:val="left"/>
      <w:pPr>
        <w:tabs>
          <w:tab w:val="num" w:pos="1191"/>
        </w:tabs>
        <w:ind w:left="1191" w:hanging="397"/>
      </w:pPr>
      <w:rPr>
        <w:rFonts w:ascii="Times New Roman" w:hAnsi="Times New Roman" w:cs="Arial"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F5B23F0"/>
    <w:multiLevelType w:val="multilevel"/>
    <w:tmpl w:val="D82CBA4E"/>
    <w:lvl w:ilvl="0">
      <w:start w:val="1"/>
      <w:numFmt w:val="decimal"/>
      <w:lvlText w:val="%1"/>
      <w:lvlJc w:val="left"/>
      <w:pPr>
        <w:tabs>
          <w:tab w:val="num" w:pos="567"/>
        </w:tabs>
        <w:ind w:left="567" w:hanging="567"/>
      </w:pPr>
      <w:rPr>
        <w:rFonts w:ascii="Times New Roman" w:hAnsi="Times New Roman" w:cs="Arial"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2234625"/>
    <w:multiLevelType w:val="multilevel"/>
    <w:tmpl w:val="D17E8F98"/>
    <w:lvl w:ilvl="0">
      <w:start w:val="1"/>
      <w:numFmt w:val="lowerLetter"/>
      <w:lvlText w:val="%1."/>
      <w:lvlJc w:val="left"/>
      <w:pPr>
        <w:tabs>
          <w:tab w:val="num" w:pos="794"/>
        </w:tabs>
        <w:ind w:left="794" w:hanging="397"/>
      </w:pPr>
      <w:rPr>
        <w:rFonts w:ascii="Times New Roman" w:hAnsi="Times New Roman"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27942D1"/>
    <w:multiLevelType w:val="multilevel"/>
    <w:tmpl w:val="CD9ED63E"/>
    <w:lvl w:ilvl="0">
      <w:start w:val="1"/>
      <w:numFmt w:val="decimal"/>
      <w:lvlText w:val="%1"/>
      <w:lvlJc w:val="left"/>
      <w:pPr>
        <w:tabs>
          <w:tab w:val="num" w:pos="567"/>
        </w:tabs>
        <w:ind w:left="567" w:hanging="567"/>
      </w:pPr>
      <w:rPr>
        <w:rFonts w:ascii="Times New Roman" w:hAnsi="Times New Roman" w:cs="Arial"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3535234"/>
    <w:multiLevelType w:val="singleLevel"/>
    <w:tmpl w:val="7FC073B8"/>
    <w:lvl w:ilvl="0">
      <w:start w:val="1"/>
      <w:numFmt w:val="bullet"/>
      <w:pStyle w:val="BoxBullet"/>
      <w:lvlText w:val=""/>
      <w:lvlJc w:val="left"/>
      <w:pPr>
        <w:tabs>
          <w:tab w:val="num" w:pos="851"/>
        </w:tabs>
        <w:ind w:left="851" w:hanging="567"/>
      </w:pPr>
      <w:rPr>
        <w:rFonts w:ascii="Symbol" w:hAnsi="Symbol" w:hint="default"/>
        <w:sz w:val="16"/>
      </w:rPr>
    </w:lvl>
  </w:abstractNum>
  <w:abstractNum w:abstractNumId="29">
    <w:nsid w:val="58E22B3C"/>
    <w:multiLevelType w:val="multilevel"/>
    <w:tmpl w:val="6D8278FA"/>
    <w:lvl w:ilvl="0">
      <w:start w:val="1"/>
      <w:numFmt w:val="lowerLetter"/>
      <w:lvlText w:val="%1"/>
      <w:lvlJc w:val="left"/>
      <w:pPr>
        <w:tabs>
          <w:tab w:val="num" w:pos="964"/>
        </w:tabs>
        <w:ind w:left="964" w:hanging="567"/>
      </w:pPr>
      <w:rPr>
        <w:rFonts w:ascii="Times New Roman" w:hAnsi="Times New Roman"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6995968"/>
    <w:multiLevelType w:val="multilevel"/>
    <w:tmpl w:val="1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6DE660FF"/>
    <w:multiLevelType w:val="hybridMultilevel"/>
    <w:tmpl w:val="1778D6BE"/>
    <w:lvl w:ilvl="0" w:tplc="2342168C">
      <w:start w:val="1"/>
      <w:numFmt w:val="bullet"/>
      <w:lvlText w:val=""/>
      <w:lvlJc w:val="left"/>
      <w:pPr>
        <w:tabs>
          <w:tab w:val="num" w:pos="805"/>
        </w:tabs>
        <w:ind w:left="805"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F16698E"/>
    <w:multiLevelType w:val="multilevel"/>
    <w:tmpl w:val="1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75811DDE"/>
    <w:multiLevelType w:val="hybridMultilevel"/>
    <w:tmpl w:val="5784BADA"/>
    <w:lvl w:ilvl="0" w:tplc="329622E6">
      <w:start w:val="1"/>
      <w:numFmt w:val="bullet"/>
      <w:pStyle w:val="TableDash"/>
      <w:lvlText w:val=""/>
      <w:lvlJc w:val="left"/>
      <w:pPr>
        <w:tabs>
          <w:tab w:val="num" w:pos="567"/>
        </w:tabs>
        <w:ind w:left="567" w:hanging="283"/>
      </w:pPr>
      <w:rPr>
        <w:rFonts w:ascii="Symbol" w:hAnsi="Symbol" w:hint="default"/>
        <w:color w:val="auto"/>
        <w:sz w:val="16"/>
        <w:szCs w:val="16"/>
      </w:rPr>
    </w:lvl>
    <w:lvl w:ilvl="1" w:tplc="14090019">
      <w:start w:val="1"/>
      <w:numFmt w:val="bullet"/>
      <w:lvlText w:val="o"/>
      <w:lvlJc w:val="left"/>
      <w:pPr>
        <w:tabs>
          <w:tab w:val="num" w:pos="1440"/>
        </w:tabs>
        <w:ind w:left="1440" w:hanging="360"/>
      </w:pPr>
      <w:rPr>
        <w:rFonts w:ascii="Courier New" w:hAnsi="Courier New" w:cs="Courier New" w:hint="default"/>
      </w:rPr>
    </w:lvl>
    <w:lvl w:ilvl="2" w:tplc="1409001B" w:tentative="1">
      <w:start w:val="1"/>
      <w:numFmt w:val="bullet"/>
      <w:lvlText w:val=""/>
      <w:lvlJc w:val="left"/>
      <w:pPr>
        <w:tabs>
          <w:tab w:val="num" w:pos="2160"/>
        </w:tabs>
        <w:ind w:left="2160" w:hanging="360"/>
      </w:pPr>
      <w:rPr>
        <w:rFonts w:ascii="Wingdings" w:hAnsi="Wingdings" w:hint="default"/>
      </w:rPr>
    </w:lvl>
    <w:lvl w:ilvl="3" w:tplc="1409000F" w:tentative="1">
      <w:start w:val="1"/>
      <w:numFmt w:val="bullet"/>
      <w:lvlText w:val=""/>
      <w:lvlJc w:val="left"/>
      <w:pPr>
        <w:tabs>
          <w:tab w:val="num" w:pos="2880"/>
        </w:tabs>
        <w:ind w:left="2880" w:hanging="360"/>
      </w:pPr>
      <w:rPr>
        <w:rFonts w:ascii="Symbol" w:hAnsi="Symbol" w:hint="default"/>
      </w:rPr>
    </w:lvl>
    <w:lvl w:ilvl="4" w:tplc="14090019" w:tentative="1">
      <w:start w:val="1"/>
      <w:numFmt w:val="bullet"/>
      <w:lvlText w:val="o"/>
      <w:lvlJc w:val="left"/>
      <w:pPr>
        <w:tabs>
          <w:tab w:val="num" w:pos="3600"/>
        </w:tabs>
        <w:ind w:left="3600" w:hanging="360"/>
      </w:pPr>
      <w:rPr>
        <w:rFonts w:ascii="Courier New" w:hAnsi="Courier New" w:cs="Courier New" w:hint="default"/>
      </w:rPr>
    </w:lvl>
    <w:lvl w:ilvl="5" w:tplc="1409001B" w:tentative="1">
      <w:start w:val="1"/>
      <w:numFmt w:val="bullet"/>
      <w:lvlText w:val=""/>
      <w:lvlJc w:val="left"/>
      <w:pPr>
        <w:tabs>
          <w:tab w:val="num" w:pos="4320"/>
        </w:tabs>
        <w:ind w:left="4320" w:hanging="360"/>
      </w:pPr>
      <w:rPr>
        <w:rFonts w:ascii="Wingdings" w:hAnsi="Wingdings" w:hint="default"/>
      </w:rPr>
    </w:lvl>
    <w:lvl w:ilvl="6" w:tplc="1409000F" w:tentative="1">
      <w:start w:val="1"/>
      <w:numFmt w:val="bullet"/>
      <w:lvlText w:val=""/>
      <w:lvlJc w:val="left"/>
      <w:pPr>
        <w:tabs>
          <w:tab w:val="num" w:pos="5040"/>
        </w:tabs>
        <w:ind w:left="5040" w:hanging="360"/>
      </w:pPr>
      <w:rPr>
        <w:rFonts w:ascii="Symbol" w:hAnsi="Symbol" w:hint="default"/>
      </w:rPr>
    </w:lvl>
    <w:lvl w:ilvl="7" w:tplc="14090019" w:tentative="1">
      <w:start w:val="1"/>
      <w:numFmt w:val="bullet"/>
      <w:lvlText w:val="o"/>
      <w:lvlJc w:val="left"/>
      <w:pPr>
        <w:tabs>
          <w:tab w:val="num" w:pos="5760"/>
        </w:tabs>
        <w:ind w:left="5760" w:hanging="360"/>
      </w:pPr>
      <w:rPr>
        <w:rFonts w:ascii="Courier New" w:hAnsi="Courier New" w:cs="Courier New" w:hint="default"/>
      </w:rPr>
    </w:lvl>
    <w:lvl w:ilvl="8" w:tplc="1409001B" w:tentative="1">
      <w:start w:val="1"/>
      <w:numFmt w:val="bullet"/>
      <w:lvlText w:val=""/>
      <w:lvlJc w:val="left"/>
      <w:pPr>
        <w:tabs>
          <w:tab w:val="num" w:pos="6480"/>
        </w:tabs>
        <w:ind w:left="6480" w:hanging="360"/>
      </w:pPr>
      <w:rPr>
        <w:rFonts w:ascii="Wingdings" w:hAnsi="Wingdings" w:hint="default"/>
      </w:rPr>
    </w:lvl>
  </w:abstractNum>
  <w:abstractNum w:abstractNumId="34">
    <w:nsid w:val="76FE4016"/>
    <w:multiLevelType w:val="multilevel"/>
    <w:tmpl w:val="1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796579F2"/>
    <w:multiLevelType w:val="multilevel"/>
    <w:tmpl w:val="5C26AB5C"/>
    <w:lvl w:ilvl="0">
      <w:start w:val="1"/>
      <w:numFmt w:val="lowerLetter"/>
      <w:lvlText w:val="%1."/>
      <w:lvlJc w:val="left"/>
      <w:pPr>
        <w:tabs>
          <w:tab w:val="num" w:pos="794"/>
        </w:tabs>
        <w:ind w:left="794" w:hanging="397"/>
      </w:pPr>
      <w:rPr>
        <w:rFonts w:ascii="Times New Roman" w:hAnsi="Times New Roman"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7ADB721E"/>
    <w:multiLevelType w:val="multilevel"/>
    <w:tmpl w:val="1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7C5A59F8"/>
    <w:multiLevelType w:val="hybridMultilevel"/>
    <w:tmpl w:val="9398B522"/>
    <w:lvl w:ilvl="0" w:tplc="A35A5F46">
      <w:start w:val="1"/>
      <w:numFmt w:val="decimal"/>
      <w:lvlText w:val="%1."/>
      <w:lvlJc w:val="left"/>
      <w:pPr>
        <w:tabs>
          <w:tab w:val="num" w:pos="397"/>
        </w:tabs>
        <w:ind w:left="397" w:hanging="397"/>
      </w:pPr>
      <w:rPr>
        <w:rFonts w:ascii="Times New Roman" w:hAnsi="Times New Roman" w:hint="default"/>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38">
    <w:nsid w:val="7E4D254A"/>
    <w:multiLevelType w:val="singleLevel"/>
    <w:tmpl w:val="3D7651AA"/>
    <w:lvl w:ilvl="0">
      <w:start w:val="1"/>
      <w:numFmt w:val="bullet"/>
      <w:pStyle w:val="Bullet"/>
      <w:lvlText w:val=""/>
      <w:lvlJc w:val="left"/>
      <w:pPr>
        <w:tabs>
          <w:tab w:val="num" w:pos="397"/>
        </w:tabs>
        <w:ind w:left="397" w:hanging="397"/>
      </w:pPr>
      <w:rPr>
        <w:rFonts w:ascii="Symbol" w:hAnsi="Symbol" w:hint="default"/>
        <w:sz w:val="20"/>
      </w:rPr>
    </w:lvl>
  </w:abstractNum>
  <w:abstractNum w:abstractNumId="39">
    <w:nsid w:val="7F3555F5"/>
    <w:multiLevelType w:val="singleLevel"/>
    <w:tmpl w:val="0409000F"/>
    <w:lvl w:ilvl="0">
      <w:start w:val="1"/>
      <w:numFmt w:val="decimal"/>
      <w:lvlText w:val="%1."/>
      <w:lvlJc w:val="left"/>
      <w:pPr>
        <w:tabs>
          <w:tab w:val="num" w:pos="360"/>
        </w:tabs>
        <w:ind w:left="360" w:hanging="360"/>
      </w:pPr>
    </w:lvl>
  </w:abstractNum>
  <w:num w:numId="1">
    <w:abstractNumId w:val="13"/>
  </w:num>
  <w:num w:numId="2">
    <w:abstractNumId w:val="28"/>
  </w:num>
  <w:num w:numId="3">
    <w:abstractNumId w:val="38"/>
  </w:num>
  <w:num w:numId="4">
    <w:abstractNumId w:val="0"/>
    <w:lvlOverride w:ilvl="0">
      <w:lvl w:ilvl="0">
        <w:start w:val="1"/>
        <w:numFmt w:val="bullet"/>
        <w:lvlText w:val="–"/>
        <w:legacy w:legacy="1" w:legacySpace="0" w:legacyIndent="284"/>
        <w:lvlJc w:val="left"/>
        <w:pPr>
          <w:ind w:left="851" w:hanging="284"/>
        </w:pPr>
        <w:rPr>
          <w:rFonts w:ascii="Times New Roman" w:hAnsi="Times New Roman" w:cs="Times New Roman" w:hint="default"/>
          <w:sz w:val="20"/>
        </w:rPr>
      </w:lvl>
    </w:lvlOverride>
  </w:num>
  <w:num w:numId="5">
    <w:abstractNumId w:val="12"/>
  </w:num>
  <w:num w:numId="6">
    <w:abstractNumId w:val="2"/>
  </w:num>
  <w:num w:numId="7">
    <w:abstractNumId w:val="10"/>
  </w:num>
  <w:num w:numId="8">
    <w:abstractNumId w:val="16"/>
  </w:num>
  <w:num w:numId="9">
    <w:abstractNumId w:val="14"/>
  </w:num>
  <w:num w:numId="10">
    <w:abstractNumId w:val="36"/>
  </w:num>
  <w:num w:numId="11">
    <w:abstractNumId w:val="20"/>
  </w:num>
  <w:num w:numId="12">
    <w:abstractNumId w:val="6"/>
  </w:num>
  <w:num w:numId="13">
    <w:abstractNumId w:val="30"/>
  </w:num>
  <w:num w:numId="14">
    <w:abstractNumId w:val="10"/>
    <w:lvlOverride w:ilvl="0">
      <w:startOverride w:val="1"/>
    </w:lvlOverride>
  </w:num>
  <w:num w:numId="15">
    <w:abstractNumId w:val="10"/>
  </w:num>
  <w:num w:numId="16">
    <w:abstractNumId w:val="29"/>
  </w:num>
  <w:num w:numId="17">
    <w:abstractNumId w:val="10"/>
    <w:lvlOverride w:ilvl="0">
      <w:startOverride w:val="1"/>
    </w:lvlOverride>
  </w:num>
  <w:num w:numId="18">
    <w:abstractNumId w:val="10"/>
    <w:lvlOverride w:ilvl="0">
      <w:startOverride w:val="1"/>
    </w:lvlOverride>
  </w:num>
  <w:num w:numId="19">
    <w:abstractNumId w:val="10"/>
    <w:lvlOverride w:ilvl="0">
      <w:startOverride w:val="1"/>
    </w:lvlOverride>
  </w:num>
  <w:num w:numId="20">
    <w:abstractNumId w:val="7"/>
  </w:num>
  <w:num w:numId="21">
    <w:abstractNumId w:val="17"/>
  </w:num>
  <w:num w:numId="22">
    <w:abstractNumId w:val="9"/>
  </w:num>
  <w:num w:numId="23">
    <w:abstractNumId w:val="34"/>
  </w:num>
  <w:num w:numId="24">
    <w:abstractNumId w:val="32"/>
  </w:num>
  <w:num w:numId="25">
    <w:abstractNumId w:val="5"/>
  </w:num>
  <w:num w:numId="26">
    <w:abstractNumId w:val="22"/>
  </w:num>
  <w:num w:numId="27">
    <w:abstractNumId w:val="22"/>
    <w:lvlOverride w:ilvl="0">
      <w:startOverride w:val="1"/>
    </w:lvlOverride>
  </w:num>
  <w:num w:numId="28">
    <w:abstractNumId w:val="27"/>
  </w:num>
  <w:num w:numId="29">
    <w:abstractNumId w:val="2"/>
    <w:lvlOverride w:ilvl="0">
      <w:startOverride w:val="1"/>
    </w:lvlOverride>
  </w:num>
  <w:num w:numId="30">
    <w:abstractNumId w:val="18"/>
  </w:num>
  <w:num w:numId="31">
    <w:abstractNumId w:val="37"/>
  </w:num>
  <w:num w:numId="32">
    <w:abstractNumId w:val="25"/>
  </w:num>
  <w:num w:numId="33">
    <w:abstractNumId w:val="23"/>
  </w:num>
  <w:num w:numId="34">
    <w:abstractNumId w:val="24"/>
  </w:num>
  <w:num w:numId="35">
    <w:abstractNumId w:val="26"/>
  </w:num>
  <w:num w:numId="36">
    <w:abstractNumId w:val="4"/>
  </w:num>
  <w:num w:numId="37">
    <w:abstractNumId w:val="10"/>
    <w:lvlOverride w:ilvl="0">
      <w:startOverride w:val="1"/>
    </w:lvlOverride>
  </w:num>
  <w:num w:numId="38">
    <w:abstractNumId w:val="10"/>
    <w:lvlOverride w:ilvl="0">
      <w:startOverride w:val="1"/>
    </w:lvlOverride>
  </w:num>
  <w:num w:numId="39">
    <w:abstractNumId w:val="8"/>
  </w:num>
  <w:num w:numId="40">
    <w:abstractNumId w:val="35"/>
  </w:num>
  <w:num w:numId="41">
    <w:abstractNumId w:val="33"/>
  </w:num>
  <w:num w:numId="42">
    <w:abstractNumId w:val="1"/>
  </w:num>
  <w:num w:numId="43">
    <w:abstractNumId w:val="21"/>
  </w:num>
  <w:num w:numId="44">
    <w:abstractNumId w:val="15"/>
  </w:num>
  <w:num w:numId="45">
    <w:abstractNumId w:val="31"/>
  </w:num>
  <w:num w:numId="46">
    <w:abstractNumId w:val="39"/>
  </w:num>
  <w:num w:numId="47">
    <w:abstractNumId w:val="19"/>
  </w:num>
  <w:num w:numId="48">
    <w:abstractNumId w:val="11"/>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activeWritingStyle w:appName="MSWord" w:lang="en-NZ" w:vendorID="64" w:dllVersion="131078" w:nlCheck="1" w:checkStyle="1"/>
  <w:activeWritingStyle w:appName="MSWord" w:lang="en-US" w:vendorID="64" w:dllVersion="131078" w:nlCheck="1" w:checkStyle="1"/>
  <w:proofState w:spelling="clean"/>
  <w:attachedTemplate r:id="rId1"/>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trackRevisions/>
  <w:defaultTabStop w:val="397"/>
  <w:evenAndOddHeaders/>
  <w:drawingGridHorizontalSpacing w:val="187"/>
  <w:displayVerticalDrawingGridEvery w:val="2"/>
  <w:noPunctuationKerning/>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30A"/>
    <w:rsid w:val="00001797"/>
    <w:rsid w:val="00002886"/>
    <w:rsid w:val="00002A47"/>
    <w:rsid w:val="00003C1D"/>
    <w:rsid w:val="000042BE"/>
    <w:rsid w:val="000051DB"/>
    <w:rsid w:val="00007ABB"/>
    <w:rsid w:val="000104EB"/>
    <w:rsid w:val="00011C8E"/>
    <w:rsid w:val="00012C7F"/>
    <w:rsid w:val="00014366"/>
    <w:rsid w:val="0001497F"/>
    <w:rsid w:val="000158C9"/>
    <w:rsid w:val="00016CB5"/>
    <w:rsid w:val="000203E4"/>
    <w:rsid w:val="00021538"/>
    <w:rsid w:val="0002153B"/>
    <w:rsid w:val="00021ACF"/>
    <w:rsid w:val="00021C70"/>
    <w:rsid w:val="00022E37"/>
    <w:rsid w:val="00023FA8"/>
    <w:rsid w:val="00024E4A"/>
    <w:rsid w:val="00024FDC"/>
    <w:rsid w:val="000276EB"/>
    <w:rsid w:val="00027A04"/>
    <w:rsid w:val="00027B9E"/>
    <w:rsid w:val="000327BD"/>
    <w:rsid w:val="00032A28"/>
    <w:rsid w:val="00032D1D"/>
    <w:rsid w:val="00033C40"/>
    <w:rsid w:val="0003419B"/>
    <w:rsid w:val="000357DB"/>
    <w:rsid w:val="0003745D"/>
    <w:rsid w:val="00040D69"/>
    <w:rsid w:val="00041242"/>
    <w:rsid w:val="00041874"/>
    <w:rsid w:val="000436CD"/>
    <w:rsid w:val="00044450"/>
    <w:rsid w:val="000446E4"/>
    <w:rsid w:val="000451E8"/>
    <w:rsid w:val="000459B0"/>
    <w:rsid w:val="000460F3"/>
    <w:rsid w:val="00046ED1"/>
    <w:rsid w:val="00047CF3"/>
    <w:rsid w:val="00050008"/>
    <w:rsid w:val="00050186"/>
    <w:rsid w:val="00050D83"/>
    <w:rsid w:val="0005166E"/>
    <w:rsid w:val="00055F15"/>
    <w:rsid w:val="00060DB4"/>
    <w:rsid w:val="0006110E"/>
    <w:rsid w:val="000611D5"/>
    <w:rsid w:val="00062198"/>
    <w:rsid w:val="0006399D"/>
    <w:rsid w:val="00064426"/>
    <w:rsid w:val="00064BFD"/>
    <w:rsid w:val="00064E70"/>
    <w:rsid w:val="00065748"/>
    <w:rsid w:val="000658E2"/>
    <w:rsid w:val="000671D4"/>
    <w:rsid w:val="000673C8"/>
    <w:rsid w:val="00070CD3"/>
    <w:rsid w:val="0007251C"/>
    <w:rsid w:val="0007341A"/>
    <w:rsid w:val="000741CC"/>
    <w:rsid w:val="00074291"/>
    <w:rsid w:val="000751AC"/>
    <w:rsid w:val="000756ED"/>
    <w:rsid w:val="00075A84"/>
    <w:rsid w:val="000761F6"/>
    <w:rsid w:val="00077DE8"/>
    <w:rsid w:val="00080C91"/>
    <w:rsid w:val="000817F5"/>
    <w:rsid w:val="00081BFD"/>
    <w:rsid w:val="000827DD"/>
    <w:rsid w:val="0008308A"/>
    <w:rsid w:val="000843C5"/>
    <w:rsid w:val="00084F3F"/>
    <w:rsid w:val="00090483"/>
    <w:rsid w:val="00090857"/>
    <w:rsid w:val="00091824"/>
    <w:rsid w:val="00091846"/>
    <w:rsid w:val="00092AC3"/>
    <w:rsid w:val="00092C35"/>
    <w:rsid w:val="0009310F"/>
    <w:rsid w:val="00094A88"/>
    <w:rsid w:val="00094E3D"/>
    <w:rsid w:val="00096750"/>
    <w:rsid w:val="000971CC"/>
    <w:rsid w:val="000A08D4"/>
    <w:rsid w:val="000A50CC"/>
    <w:rsid w:val="000B1B53"/>
    <w:rsid w:val="000B4412"/>
    <w:rsid w:val="000B524D"/>
    <w:rsid w:val="000B5264"/>
    <w:rsid w:val="000B723C"/>
    <w:rsid w:val="000C0449"/>
    <w:rsid w:val="000C1054"/>
    <w:rsid w:val="000C1BE0"/>
    <w:rsid w:val="000C20A6"/>
    <w:rsid w:val="000C2184"/>
    <w:rsid w:val="000C28B7"/>
    <w:rsid w:val="000C3B58"/>
    <w:rsid w:val="000C572D"/>
    <w:rsid w:val="000C5E72"/>
    <w:rsid w:val="000C5EB7"/>
    <w:rsid w:val="000C628C"/>
    <w:rsid w:val="000C6D3C"/>
    <w:rsid w:val="000C7936"/>
    <w:rsid w:val="000D0186"/>
    <w:rsid w:val="000D1A60"/>
    <w:rsid w:val="000D32C5"/>
    <w:rsid w:val="000D3DD2"/>
    <w:rsid w:val="000D4E0B"/>
    <w:rsid w:val="000D5C95"/>
    <w:rsid w:val="000E0ED5"/>
    <w:rsid w:val="000E163C"/>
    <w:rsid w:val="000E249A"/>
    <w:rsid w:val="000E2C83"/>
    <w:rsid w:val="000E3441"/>
    <w:rsid w:val="000E4C53"/>
    <w:rsid w:val="000E554E"/>
    <w:rsid w:val="000E564D"/>
    <w:rsid w:val="000E742F"/>
    <w:rsid w:val="000F1E47"/>
    <w:rsid w:val="000F29AE"/>
    <w:rsid w:val="000F4DEF"/>
    <w:rsid w:val="000F6B62"/>
    <w:rsid w:val="000F7DB5"/>
    <w:rsid w:val="0010190B"/>
    <w:rsid w:val="00101EF0"/>
    <w:rsid w:val="0010256F"/>
    <w:rsid w:val="0010290C"/>
    <w:rsid w:val="00104A2E"/>
    <w:rsid w:val="00104B3A"/>
    <w:rsid w:val="00106070"/>
    <w:rsid w:val="00112450"/>
    <w:rsid w:val="00114AA9"/>
    <w:rsid w:val="001161BB"/>
    <w:rsid w:val="0011660E"/>
    <w:rsid w:val="00116E1B"/>
    <w:rsid w:val="00120CBA"/>
    <w:rsid w:val="001221C3"/>
    <w:rsid w:val="0012315C"/>
    <w:rsid w:val="00126630"/>
    <w:rsid w:val="001277D6"/>
    <w:rsid w:val="001320D0"/>
    <w:rsid w:val="0013311A"/>
    <w:rsid w:val="001339E8"/>
    <w:rsid w:val="001341B7"/>
    <w:rsid w:val="00134A16"/>
    <w:rsid w:val="001354DD"/>
    <w:rsid w:val="0013597B"/>
    <w:rsid w:val="001368E6"/>
    <w:rsid w:val="00136BDC"/>
    <w:rsid w:val="00140490"/>
    <w:rsid w:val="00140F30"/>
    <w:rsid w:val="001413A1"/>
    <w:rsid w:val="001434C9"/>
    <w:rsid w:val="00143651"/>
    <w:rsid w:val="00146A6F"/>
    <w:rsid w:val="0015019D"/>
    <w:rsid w:val="0015081E"/>
    <w:rsid w:val="0015396B"/>
    <w:rsid w:val="001547B7"/>
    <w:rsid w:val="00154CE0"/>
    <w:rsid w:val="00155F70"/>
    <w:rsid w:val="001635FE"/>
    <w:rsid w:val="00163B46"/>
    <w:rsid w:val="00163E6D"/>
    <w:rsid w:val="00164169"/>
    <w:rsid w:val="00166A9A"/>
    <w:rsid w:val="00170066"/>
    <w:rsid w:val="00170070"/>
    <w:rsid w:val="00171902"/>
    <w:rsid w:val="00171AE6"/>
    <w:rsid w:val="0017271F"/>
    <w:rsid w:val="001733CC"/>
    <w:rsid w:val="00174B39"/>
    <w:rsid w:val="00175329"/>
    <w:rsid w:val="001765B5"/>
    <w:rsid w:val="00177411"/>
    <w:rsid w:val="00177949"/>
    <w:rsid w:val="00180B9C"/>
    <w:rsid w:val="001812C8"/>
    <w:rsid w:val="00181D47"/>
    <w:rsid w:val="00181D92"/>
    <w:rsid w:val="00185E80"/>
    <w:rsid w:val="00186624"/>
    <w:rsid w:val="001870A8"/>
    <w:rsid w:val="0019107A"/>
    <w:rsid w:val="00194E44"/>
    <w:rsid w:val="001955E9"/>
    <w:rsid w:val="00196D93"/>
    <w:rsid w:val="001976AE"/>
    <w:rsid w:val="0019774B"/>
    <w:rsid w:val="001A1722"/>
    <w:rsid w:val="001A1997"/>
    <w:rsid w:val="001A2022"/>
    <w:rsid w:val="001A3004"/>
    <w:rsid w:val="001A6859"/>
    <w:rsid w:val="001A7B20"/>
    <w:rsid w:val="001A7EE4"/>
    <w:rsid w:val="001B01F7"/>
    <w:rsid w:val="001B089A"/>
    <w:rsid w:val="001B2C97"/>
    <w:rsid w:val="001B333A"/>
    <w:rsid w:val="001B3D5F"/>
    <w:rsid w:val="001B43D7"/>
    <w:rsid w:val="001B6BE5"/>
    <w:rsid w:val="001B7D3F"/>
    <w:rsid w:val="001B7F03"/>
    <w:rsid w:val="001C19E1"/>
    <w:rsid w:val="001C212F"/>
    <w:rsid w:val="001D0D8B"/>
    <w:rsid w:val="001D0F35"/>
    <w:rsid w:val="001D2A85"/>
    <w:rsid w:val="001D2E75"/>
    <w:rsid w:val="001D32C1"/>
    <w:rsid w:val="001D353A"/>
    <w:rsid w:val="001D3F3D"/>
    <w:rsid w:val="001D49F8"/>
    <w:rsid w:val="001D5950"/>
    <w:rsid w:val="001D5E9B"/>
    <w:rsid w:val="001D6ACA"/>
    <w:rsid w:val="001E0271"/>
    <w:rsid w:val="001E13CD"/>
    <w:rsid w:val="001E1AC0"/>
    <w:rsid w:val="001E1B9D"/>
    <w:rsid w:val="001E1D42"/>
    <w:rsid w:val="001E1D94"/>
    <w:rsid w:val="001E1F36"/>
    <w:rsid w:val="001E1F7D"/>
    <w:rsid w:val="001E4A67"/>
    <w:rsid w:val="001E5328"/>
    <w:rsid w:val="001E79D1"/>
    <w:rsid w:val="001F1412"/>
    <w:rsid w:val="001F7D7E"/>
    <w:rsid w:val="002002FF"/>
    <w:rsid w:val="002011D7"/>
    <w:rsid w:val="00202FEF"/>
    <w:rsid w:val="002036B4"/>
    <w:rsid w:val="00204F56"/>
    <w:rsid w:val="00205C0A"/>
    <w:rsid w:val="002064AE"/>
    <w:rsid w:val="002068F6"/>
    <w:rsid w:val="002069DB"/>
    <w:rsid w:val="00206DF5"/>
    <w:rsid w:val="00207431"/>
    <w:rsid w:val="00207ABF"/>
    <w:rsid w:val="00210861"/>
    <w:rsid w:val="0021207F"/>
    <w:rsid w:val="002120ED"/>
    <w:rsid w:val="00212CC9"/>
    <w:rsid w:val="00212F40"/>
    <w:rsid w:val="0021318B"/>
    <w:rsid w:val="002179C3"/>
    <w:rsid w:val="0022017C"/>
    <w:rsid w:val="00220272"/>
    <w:rsid w:val="00221044"/>
    <w:rsid w:val="00224631"/>
    <w:rsid w:val="0022535C"/>
    <w:rsid w:val="0022681E"/>
    <w:rsid w:val="00227394"/>
    <w:rsid w:val="00227B1E"/>
    <w:rsid w:val="00227BDB"/>
    <w:rsid w:val="002306FE"/>
    <w:rsid w:val="002344EE"/>
    <w:rsid w:val="00234C46"/>
    <w:rsid w:val="00235A01"/>
    <w:rsid w:val="00241C81"/>
    <w:rsid w:val="00241D87"/>
    <w:rsid w:val="0024217E"/>
    <w:rsid w:val="0024367F"/>
    <w:rsid w:val="00243A61"/>
    <w:rsid w:val="002454B0"/>
    <w:rsid w:val="00245615"/>
    <w:rsid w:val="00250C31"/>
    <w:rsid w:val="00250F0C"/>
    <w:rsid w:val="0025224B"/>
    <w:rsid w:val="00252CC3"/>
    <w:rsid w:val="00253158"/>
    <w:rsid w:val="002537CD"/>
    <w:rsid w:val="00253A40"/>
    <w:rsid w:val="00254277"/>
    <w:rsid w:val="00254E7A"/>
    <w:rsid w:val="00256A5F"/>
    <w:rsid w:val="00256C24"/>
    <w:rsid w:val="00256C9F"/>
    <w:rsid w:val="00260164"/>
    <w:rsid w:val="00261572"/>
    <w:rsid w:val="00261B9C"/>
    <w:rsid w:val="00261E4A"/>
    <w:rsid w:val="0026201E"/>
    <w:rsid w:val="002628F9"/>
    <w:rsid w:val="002654FF"/>
    <w:rsid w:val="002656C3"/>
    <w:rsid w:val="00266983"/>
    <w:rsid w:val="00270BF0"/>
    <w:rsid w:val="00270E01"/>
    <w:rsid w:val="00270E3B"/>
    <w:rsid w:val="00273620"/>
    <w:rsid w:val="00276370"/>
    <w:rsid w:val="0027681C"/>
    <w:rsid w:val="00276E1D"/>
    <w:rsid w:val="0027740A"/>
    <w:rsid w:val="00281186"/>
    <w:rsid w:val="00283370"/>
    <w:rsid w:val="002855DD"/>
    <w:rsid w:val="00285694"/>
    <w:rsid w:val="0028581A"/>
    <w:rsid w:val="00285D6C"/>
    <w:rsid w:val="00287611"/>
    <w:rsid w:val="0029137A"/>
    <w:rsid w:val="00292684"/>
    <w:rsid w:val="00292F5E"/>
    <w:rsid w:val="00293378"/>
    <w:rsid w:val="00294687"/>
    <w:rsid w:val="0029471F"/>
    <w:rsid w:val="00294FCD"/>
    <w:rsid w:val="0029510B"/>
    <w:rsid w:val="00295B2A"/>
    <w:rsid w:val="00296DE0"/>
    <w:rsid w:val="00297E80"/>
    <w:rsid w:val="002A0738"/>
    <w:rsid w:val="002A316D"/>
    <w:rsid w:val="002A33E7"/>
    <w:rsid w:val="002A3817"/>
    <w:rsid w:val="002A4757"/>
    <w:rsid w:val="002A5794"/>
    <w:rsid w:val="002A5CFD"/>
    <w:rsid w:val="002A6E44"/>
    <w:rsid w:val="002A773C"/>
    <w:rsid w:val="002A7740"/>
    <w:rsid w:val="002B1C5A"/>
    <w:rsid w:val="002B2D5B"/>
    <w:rsid w:val="002B3284"/>
    <w:rsid w:val="002B4D87"/>
    <w:rsid w:val="002B4E54"/>
    <w:rsid w:val="002B6466"/>
    <w:rsid w:val="002B7865"/>
    <w:rsid w:val="002C156D"/>
    <w:rsid w:val="002C26B3"/>
    <w:rsid w:val="002C2D20"/>
    <w:rsid w:val="002C3699"/>
    <w:rsid w:val="002C4FDF"/>
    <w:rsid w:val="002C6F9D"/>
    <w:rsid w:val="002C7DE1"/>
    <w:rsid w:val="002D0434"/>
    <w:rsid w:val="002D128C"/>
    <w:rsid w:val="002D215C"/>
    <w:rsid w:val="002D2CE8"/>
    <w:rsid w:val="002D37F4"/>
    <w:rsid w:val="002D420A"/>
    <w:rsid w:val="002D60DB"/>
    <w:rsid w:val="002D79F8"/>
    <w:rsid w:val="002E05B8"/>
    <w:rsid w:val="002E649A"/>
    <w:rsid w:val="002E67F2"/>
    <w:rsid w:val="002F0067"/>
    <w:rsid w:val="002F0474"/>
    <w:rsid w:val="002F134A"/>
    <w:rsid w:val="002F1F48"/>
    <w:rsid w:val="002F293B"/>
    <w:rsid w:val="002F4D71"/>
    <w:rsid w:val="002F507B"/>
    <w:rsid w:val="002F597C"/>
    <w:rsid w:val="002F5CCC"/>
    <w:rsid w:val="002F5D44"/>
    <w:rsid w:val="002F7312"/>
    <w:rsid w:val="003004EA"/>
    <w:rsid w:val="00300F7D"/>
    <w:rsid w:val="003015C9"/>
    <w:rsid w:val="003018FD"/>
    <w:rsid w:val="00302D84"/>
    <w:rsid w:val="00302F3C"/>
    <w:rsid w:val="003067C0"/>
    <w:rsid w:val="00306836"/>
    <w:rsid w:val="00307084"/>
    <w:rsid w:val="00307836"/>
    <w:rsid w:val="00312CEC"/>
    <w:rsid w:val="00313C89"/>
    <w:rsid w:val="00314512"/>
    <w:rsid w:val="00315760"/>
    <w:rsid w:val="003158FC"/>
    <w:rsid w:val="00315D90"/>
    <w:rsid w:val="00316E94"/>
    <w:rsid w:val="00320D1F"/>
    <w:rsid w:val="003221AF"/>
    <w:rsid w:val="0032465A"/>
    <w:rsid w:val="00326D5D"/>
    <w:rsid w:val="0033015C"/>
    <w:rsid w:val="0033144D"/>
    <w:rsid w:val="00332778"/>
    <w:rsid w:val="00332822"/>
    <w:rsid w:val="00334E1B"/>
    <w:rsid w:val="00335561"/>
    <w:rsid w:val="00335A65"/>
    <w:rsid w:val="00335AD3"/>
    <w:rsid w:val="0033688C"/>
    <w:rsid w:val="0034075E"/>
    <w:rsid w:val="00340F5B"/>
    <w:rsid w:val="00341C00"/>
    <w:rsid w:val="003432D8"/>
    <w:rsid w:val="00346186"/>
    <w:rsid w:val="003512CC"/>
    <w:rsid w:val="00354F10"/>
    <w:rsid w:val="00355DE4"/>
    <w:rsid w:val="00357395"/>
    <w:rsid w:val="0035751E"/>
    <w:rsid w:val="00357C66"/>
    <w:rsid w:val="00360440"/>
    <w:rsid w:val="003612A9"/>
    <w:rsid w:val="00364FB5"/>
    <w:rsid w:val="00371F14"/>
    <w:rsid w:val="00372781"/>
    <w:rsid w:val="00373611"/>
    <w:rsid w:val="0037410C"/>
    <w:rsid w:val="00375083"/>
    <w:rsid w:val="0037590E"/>
    <w:rsid w:val="00375B0F"/>
    <w:rsid w:val="00376CB1"/>
    <w:rsid w:val="00381940"/>
    <w:rsid w:val="00383207"/>
    <w:rsid w:val="00383C4C"/>
    <w:rsid w:val="00384067"/>
    <w:rsid w:val="00384564"/>
    <w:rsid w:val="00387D69"/>
    <w:rsid w:val="003906A0"/>
    <w:rsid w:val="00390BEF"/>
    <w:rsid w:val="00390CD6"/>
    <w:rsid w:val="003911CE"/>
    <w:rsid w:val="003927D6"/>
    <w:rsid w:val="00397A44"/>
    <w:rsid w:val="00397D2B"/>
    <w:rsid w:val="003A0C59"/>
    <w:rsid w:val="003A0F5A"/>
    <w:rsid w:val="003A170F"/>
    <w:rsid w:val="003A18E6"/>
    <w:rsid w:val="003A1A33"/>
    <w:rsid w:val="003A1C39"/>
    <w:rsid w:val="003A314B"/>
    <w:rsid w:val="003A6444"/>
    <w:rsid w:val="003A6BE9"/>
    <w:rsid w:val="003B1583"/>
    <w:rsid w:val="003B18D1"/>
    <w:rsid w:val="003B2F53"/>
    <w:rsid w:val="003B300E"/>
    <w:rsid w:val="003B309A"/>
    <w:rsid w:val="003B6326"/>
    <w:rsid w:val="003B6E43"/>
    <w:rsid w:val="003C06C4"/>
    <w:rsid w:val="003C0FD1"/>
    <w:rsid w:val="003C2615"/>
    <w:rsid w:val="003C2773"/>
    <w:rsid w:val="003C390A"/>
    <w:rsid w:val="003C4184"/>
    <w:rsid w:val="003C45A4"/>
    <w:rsid w:val="003C473C"/>
    <w:rsid w:val="003C5750"/>
    <w:rsid w:val="003C61D1"/>
    <w:rsid w:val="003C7640"/>
    <w:rsid w:val="003D1649"/>
    <w:rsid w:val="003D1CA0"/>
    <w:rsid w:val="003D3B6B"/>
    <w:rsid w:val="003D4D49"/>
    <w:rsid w:val="003D5066"/>
    <w:rsid w:val="003D6641"/>
    <w:rsid w:val="003D7B71"/>
    <w:rsid w:val="003E0698"/>
    <w:rsid w:val="003E0862"/>
    <w:rsid w:val="003E169E"/>
    <w:rsid w:val="003E1746"/>
    <w:rsid w:val="003E1ACD"/>
    <w:rsid w:val="003E4147"/>
    <w:rsid w:val="003E4D31"/>
    <w:rsid w:val="003E54D1"/>
    <w:rsid w:val="003E6315"/>
    <w:rsid w:val="003E7E7F"/>
    <w:rsid w:val="003F17AF"/>
    <w:rsid w:val="003F2F96"/>
    <w:rsid w:val="003F38D8"/>
    <w:rsid w:val="003F3BF0"/>
    <w:rsid w:val="003F531B"/>
    <w:rsid w:val="003F76E8"/>
    <w:rsid w:val="0040048C"/>
    <w:rsid w:val="00400F92"/>
    <w:rsid w:val="0040300A"/>
    <w:rsid w:val="00405768"/>
    <w:rsid w:val="00405A78"/>
    <w:rsid w:val="00406109"/>
    <w:rsid w:val="00407420"/>
    <w:rsid w:val="0040769A"/>
    <w:rsid w:val="004117B6"/>
    <w:rsid w:val="00413172"/>
    <w:rsid w:val="004135E4"/>
    <w:rsid w:val="00413C3E"/>
    <w:rsid w:val="00414C19"/>
    <w:rsid w:val="00414E52"/>
    <w:rsid w:val="00416196"/>
    <w:rsid w:val="00420699"/>
    <w:rsid w:val="00422C1B"/>
    <w:rsid w:val="00422DDE"/>
    <w:rsid w:val="004232D2"/>
    <w:rsid w:val="00423388"/>
    <w:rsid w:val="00423D55"/>
    <w:rsid w:val="00423EF9"/>
    <w:rsid w:val="0042424B"/>
    <w:rsid w:val="00425244"/>
    <w:rsid w:val="00425292"/>
    <w:rsid w:val="00426B04"/>
    <w:rsid w:val="00430959"/>
    <w:rsid w:val="00432937"/>
    <w:rsid w:val="004330E8"/>
    <w:rsid w:val="00434515"/>
    <w:rsid w:val="00434959"/>
    <w:rsid w:val="004371AB"/>
    <w:rsid w:val="004410E9"/>
    <w:rsid w:val="00441BD8"/>
    <w:rsid w:val="00441F1E"/>
    <w:rsid w:val="00446522"/>
    <w:rsid w:val="004465A6"/>
    <w:rsid w:val="00446893"/>
    <w:rsid w:val="004514B0"/>
    <w:rsid w:val="00452680"/>
    <w:rsid w:val="0045275F"/>
    <w:rsid w:val="00452A29"/>
    <w:rsid w:val="004545FF"/>
    <w:rsid w:val="004558AC"/>
    <w:rsid w:val="0045652C"/>
    <w:rsid w:val="004569DD"/>
    <w:rsid w:val="0045741B"/>
    <w:rsid w:val="00457FAB"/>
    <w:rsid w:val="00460123"/>
    <w:rsid w:val="004602E3"/>
    <w:rsid w:val="0046041D"/>
    <w:rsid w:val="004641DE"/>
    <w:rsid w:val="004666DE"/>
    <w:rsid w:val="0046695A"/>
    <w:rsid w:val="004669A4"/>
    <w:rsid w:val="00467889"/>
    <w:rsid w:val="00467943"/>
    <w:rsid w:val="00467A28"/>
    <w:rsid w:val="00475275"/>
    <w:rsid w:val="00475AFD"/>
    <w:rsid w:val="00475D74"/>
    <w:rsid w:val="00477D9B"/>
    <w:rsid w:val="0048041D"/>
    <w:rsid w:val="00480433"/>
    <w:rsid w:val="004805A3"/>
    <w:rsid w:val="00482941"/>
    <w:rsid w:val="00482F73"/>
    <w:rsid w:val="00483942"/>
    <w:rsid w:val="00483988"/>
    <w:rsid w:val="00483C40"/>
    <w:rsid w:val="00484DF4"/>
    <w:rsid w:val="00485421"/>
    <w:rsid w:val="004904B2"/>
    <w:rsid w:val="00490EB0"/>
    <w:rsid w:val="00490F12"/>
    <w:rsid w:val="00490F27"/>
    <w:rsid w:val="00492225"/>
    <w:rsid w:val="00492836"/>
    <w:rsid w:val="0049393E"/>
    <w:rsid w:val="00493D4F"/>
    <w:rsid w:val="00494005"/>
    <w:rsid w:val="004944B9"/>
    <w:rsid w:val="004952B7"/>
    <w:rsid w:val="004960C6"/>
    <w:rsid w:val="00496112"/>
    <w:rsid w:val="00496377"/>
    <w:rsid w:val="00496F90"/>
    <w:rsid w:val="004A19EA"/>
    <w:rsid w:val="004A1CD4"/>
    <w:rsid w:val="004A1FC0"/>
    <w:rsid w:val="004A3DEB"/>
    <w:rsid w:val="004A4924"/>
    <w:rsid w:val="004A4ADF"/>
    <w:rsid w:val="004A5319"/>
    <w:rsid w:val="004A548B"/>
    <w:rsid w:val="004A618E"/>
    <w:rsid w:val="004A6692"/>
    <w:rsid w:val="004A6786"/>
    <w:rsid w:val="004A7E2E"/>
    <w:rsid w:val="004B0565"/>
    <w:rsid w:val="004B1A44"/>
    <w:rsid w:val="004B34AB"/>
    <w:rsid w:val="004B3755"/>
    <w:rsid w:val="004B658D"/>
    <w:rsid w:val="004B7263"/>
    <w:rsid w:val="004C076A"/>
    <w:rsid w:val="004C12B1"/>
    <w:rsid w:val="004C1B89"/>
    <w:rsid w:val="004C1EB0"/>
    <w:rsid w:val="004C22A4"/>
    <w:rsid w:val="004C22C7"/>
    <w:rsid w:val="004C43E9"/>
    <w:rsid w:val="004C5B0D"/>
    <w:rsid w:val="004C5E5C"/>
    <w:rsid w:val="004C64DB"/>
    <w:rsid w:val="004C6DA3"/>
    <w:rsid w:val="004D220C"/>
    <w:rsid w:val="004D28BA"/>
    <w:rsid w:val="004D3720"/>
    <w:rsid w:val="004D3C65"/>
    <w:rsid w:val="004E070B"/>
    <w:rsid w:val="004E0BA1"/>
    <w:rsid w:val="004E3235"/>
    <w:rsid w:val="004E3B1C"/>
    <w:rsid w:val="004E4249"/>
    <w:rsid w:val="004E4B2C"/>
    <w:rsid w:val="004E5567"/>
    <w:rsid w:val="004E7B2E"/>
    <w:rsid w:val="004F0D18"/>
    <w:rsid w:val="004F1E88"/>
    <w:rsid w:val="004F1F0A"/>
    <w:rsid w:val="004F28C7"/>
    <w:rsid w:val="004F3D24"/>
    <w:rsid w:val="00500958"/>
    <w:rsid w:val="00502859"/>
    <w:rsid w:val="00502B30"/>
    <w:rsid w:val="00504DFC"/>
    <w:rsid w:val="00505564"/>
    <w:rsid w:val="0050647F"/>
    <w:rsid w:val="00506B94"/>
    <w:rsid w:val="00507330"/>
    <w:rsid w:val="00510FE2"/>
    <w:rsid w:val="005115F6"/>
    <w:rsid w:val="00513C2F"/>
    <w:rsid w:val="00513CE5"/>
    <w:rsid w:val="005157D7"/>
    <w:rsid w:val="005168B7"/>
    <w:rsid w:val="00517046"/>
    <w:rsid w:val="005175FD"/>
    <w:rsid w:val="005209AC"/>
    <w:rsid w:val="00521A8C"/>
    <w:rsid w:val="005243B1"/>
    <w:rsid w:val="005267D4"/>
    <w:rsid w:val="005269EA"/>
    <w:rsid w:val="00530496"/>
    <w:rsid w:val="00530523"/>
    <w:rsid w:val="00530E27"/>
    <w:rsid w:val="005331C7"/>
    <w:rsid w:val="00533C87"/>
    <w:rsid w:val="00533CDA"/>
    <w:rsid w:val="00533E77"/>
    <w:rsid w:val="00535485"/>
    <w:rsid w:val="00536413"/>
    <w:rsid w:val="00536A7B"/>
    <w:rsid w:val="00536E55"/>
    <w:rsid w:val="00537E6E"/>
    <w:rsid w:val="00540E82"/>
    <w:rsid w:val="00541B7D"/>
    <w:rsid w:val="00542428"/>
    <w:rsid w:val="005427B9"/>
    <w:rsid w:val="0054609A"/>
    <w:rsid w:val="0054712A"/>
    <w:rsid w:val="00547454"/>
    <w:rsid w:val="005503DC"/>
    <w:rsid w:val="00550456"/>
    <w:rsid w:val="00551437"/>
    <w:rsid w:val="00551513"/>
    <w:rsid w:val="0055207A"/>
    <w:rsid w:val="00552B3E"/>
    <w:rsid w:val="00553762"/>
    <w:rsid w:val="00555E49"/>
    <w:rsid w:val="00556308"/>
    <w:rsid w:val="005572D3"/>
    <w:rsid w:val="00557939"/>
    <w:rsid w:val="00557AAB"/>
    <w:rsid w:val="005600B7"/>
    <w:rsid w:val="00562F55"/>
    <w:rsid w:val="005630B0"/>
    <w:rsid w:val="00564888"/>
    <w:rsid w:val="00564AC4"/>
    <w:rsid w:val="005666FF"/>
    <w:rsid w:val="005667C2"/>
    <w:rsid w:val="0056710E"/>
    <w:rsid w:val="005673CF"/>
    <w:rsid w:val="00570331"/>
    <w:rsid w:val="00570370"/>
    <w:rsid w:val="00570A38"/>
    <w:rsid w:val="00570B7E"/>
    <w:rsid w:val="005720F2"/>
    <w:rsid w:val="005728BB"/>
    <w:rsid w:val="00572B86"/>
    <w:rsid w:val="00574B3A"/>
    <w:rsid w:val="005757EE"/>
    <w:rsid w:val="00575837"/>
    <w:rsid w:val="00576339"/>
    <w:rsid w:val="00576644"/>
    <w:rsid w:val="0057715B"/>
    <w:rsid w:val="00577773"/>
    <w:rsid w:val="00580E3F"/>
    <w:rsid w:val="00583A76"/>
    <w:rsid w:val="00583A81"/>
    <w:rsid w:val="00584427"/>
    <w:rsid w:val="0058485B"/>
    <w:rsid w:val="00585305"/>
    <w:rsid w:val="00587528"/>
    <w:rsid w:val="00587FE2"/>
    <w:rsid w:val="00590CD9"/>
    <w:rsid w:val="00591C4D"/>
    <w:rsid w:val="00592460"/>
    <w:rsid w:val="00593A71"/>
    <w:rsid w:val="005962BA"/>
    <w:rsid w:val="00596603"/>
    <w:rsid w:val="00597098"/>
    <w:rsid w:val="00597917"/>
    <w:rsid w:val="005A0225"/>
    <w:rsid w:val="005A0910"/>
    <w:rsid w:val="005A1293"/>
    <w:rsid w:val="005A14A9"/>
    <w:rsid w:val="005A24A8"/>
    <w:rsid w:val="005A3710"/>
    <w:rsid w:val="005A3D15"/>
    <w:rsid w:val="005A415C"/>
    <w:rsid w:val="005A476C"/>
    <w:rsid w:val="005A4FCF"/>
    <w:rsid w:val="005A5FFA"/>
    <w:rsid w:val="005A7A42"/>
    <w:rsid w:val="005B12B6"/>
    <w:rsid w:val="005B26AE"/>
    <w:rsid w:val="005B2DE3"/>
    <w:rsid w:val="005B320E"/>
    <w:rsid w:val="005B647B"/>
    <w:rsid w:val="005B67E6"/>
    <w:rsid w:val="005B6B3D"/>
    <w:rsid w:val="005B6C5A"/>
    <w:rsid w:val="005B7AC4"/>
    <w:rsid w:val="005C0716"/>
    <w:rsid w:val="005C07C8"/>
    <w:rsid w:val="005C1600"/>
    <w:rsid w:val="005C2FED"/>
    <w:rsid w:val="005C3CD0"/>
    <w:rsid w:val="005C3FE2"/>
    <w:rsid w:val="005C416E"/>
    <w:rsid w:val="005C4721"/>
    <w:rsid w:val="005C4914"/>
    <w:rsid w:val="005C4CCF"/>
    <w:rsid w:val="005C722A"/>
    <w:rsid w:val="005D0D22"/>
    <w:rsid w:val="005D11AC"/>
    <w:rsid w:val="005D11BB"/>
    <w:rsid w:val="005D1487"/>
    <w:rsid w:val="005D1C3A"/>
    <w:rsid w:val="005D3DC5"/>
    <w:rsid w:val="005D4436"/>
    <w:rsid w:val="005D5910"/>
    <w:rsid w:val="005D5ED6"/>
    <w:rsid w:val="005D681F"/>
    <w:rsid w:val="005D6BD1"/>
    <w:rsid w:val="005E1657"/>
    <w:rsid w:val="005E3144"/>
    <w:rsid w:val="005E3550"/>
    <w:rsid w:val="005E4031"/>
    <w:rsid w:val="005E40CF"/>
    <w:rsid w:val="005E43DD"/>
    <w:rsid w:val="005E573A"/>
    <w:rsid w:val="005E59C1"/>
    <w:rsid w:val="005E691D"/>
    <w:rsid w:val="005E6AC1"/>
    <w:rsid w:val="005E736B"/>
    <w:rsid w:val="005F4BCB"/>
    <w:rsid w:val="005F6A9D"/>
    <w:rsid w:val="00601113"/>
    <w:rsid w:val="00603258"/>
    <w:rsid w:val="00603363"/>
    <w:rsid w:val="006036E5"/>
    <w:rsid w:val="00603C34"/>
    <w:rsid w:val="00603FC0"/>
    <w:rsid w:val="0060510E"/>
    <w:rsid w:val="00606084"/>
    <w:rsid w:val="00606ABF"/>
    <w:rsid w:val="00607649"/>
    <w:rsid w:val="0060767D"/>
    <w:rsid w:val="00607BFE"/>
    <w:rsid w:val="0061112D"/>
    <w:rsid w:val="006139AA"/>
    <w:rsid w:val="00613C42"/>
    <w:rsid w:val="006147B2"/>
    <w:rsid w:val="00620707"/>
    <w:rsid w:val="00620BF3"/>
    <w:rsid w:val="00620FC9"/>
    <w:rsid w:val="00622647"/>
    <w:rsid w:val="00622987"/>
    <w:rsid w:val="0062428A"/>
    <w:rsid w:val="00624BE1"/>
    <w:rsid w:val="006272C1"/>
    <w:rsid w:val="00627F26"/>
    <w:rsid w:val="00630082"/>
    <w:rsid w:val="0063045D"/>
    <w:rsid w:val="00630869"/>
    <w:rsid w:val="006328FF"/>
    <w:rsid w:val="0063432B"/>
    <w:rsid w:val="00636BF0"/>
    <w:rsid w:val="0063791E"/>
    <w:rsid w:val="006402CC"/>
    <w:rsid w:val="0064367D"/>
    <w:rsid w:val="00644370"/>
    <w:rsid w:val="00644D67"/>
    <w:rsid w:val="006454F4"/>
    <w:rsid w:val="00646650"/>
    <w:rsid w:val="00646DB2"/>
    <w:rsid w:val="00647E14"/>
    <w:rsid w:val="0065035D"/>
    <w:rsid w:val="006510A7"/>
    <w:rsid w:val="00651D10"/>
    <w:rsid w:val="00651E8F"/>
    <w:rsid w:val="006523AF"/>
    <w:rsid w:val="006551C6"/>
    <w:rsid w:val="0065588F"/>
    <w:rsid w:val="006562CE"/>
    <w:rsid w:val="00657192"/>
    <w:rsid w:val="006572F2"/>
    <w:rsid w:val="00660096"/>
    <w:rsid w:val="006603DC"/>
    <w:rsid w:val="006608AC"/>
    <w:rsid w:val="00660D96"/>
    <w:rsid w:val="006611D6"/>
    <w:rsid w:val="00661FCC"/>
    <w:rsid w:val="006627CE"/>
    <w:rsid w:val="00665768"/>
    <w:rsid w:val="00666E7D"/>
    <w:rsid w:val="00673741"/>
    <w:rsid w:val="00673CBD"/>
    <w:rsid w:val="006740EA"/>
    <w:rsid w:val="0067451B"/>
    <w:rsid w:val="006752B7"/>
    <w:rsid w:val="006767F1"/>
    <w:rsid w:val="006773E1"/>
    <w:rsid w:val="00677C64"/>
    <w:rsid w:val="00677E3F"/>
    <w:rsid w:val="00680064"/>
    <w:rsid w:val="00680641"/>
    <w:rsid w:val="00680FA7"/>
    <w:rsid w:val="00682518"/>
    <w:rsid w:val="00682837"/>
    <w:rsid w:val="00682AFB"/>
    <w:rsid w:val="00682DF5"/>
    <w:rsid w:val="00684B91"/>
    <w:rsid w:val="0068622F"/>
    <w:rsid w:val="00686249"/>
    <w:rsid w:val="00687504"/>
    <w:rsid w:val="00690AD2"/>
    <w:rsid w:val="00691E14"/>
    <w:rsid w:val="00693270"/>
    <w:rsid w:val="00694B0A"/>
    <w:rsid w:val="00697E7E"/>
    <w:rsid w:val="006A0751"/>
    <w:rsid w:val="006A0AB1"/>
    <w:rsid w:val="006A0DA9"/>
    <w:rsid w:val="006A1E7B"/>
    <w:rsid w:val="006A2D38"/>
    <w:rsid w:val="006A3943"/>
    <w:rsid w:val="006A4145"/>
    <w:rsid w:val="006A47B4"/>
    <w:rsid w:val="006A4E5F"/>
    <w:rsid w:val="006A58A1"/>
    <w:rsid w:val="006A6437"/>
    <w:rsid w:val="006A6695"/>
    <w:rsid w:val="006A7333"/>
    <w:rsid w:val="006B0D0F"/>
    <w:rsid w:val="006B45F7"/>
    <w:rsid w:val="006C2478"/>
    <w:rsid w:val="006C259E"/>
    <w:rsid w:val="006C2F7D"/>
    <w:rsid w:val="006C3411"/>
    <w:rsid w:val="006C4F7A"/>
    <w:rsid w:val="006C5D43"/>
    <w:rsid w:val="006D0E10"/>
    <w:rsid w:val="006D44F2"/>
    <w:rsid w:val="006D5A28"/>
    <w:rsid w:val="006D68E9"/>
    <w:rsid w:val="006D70C8"/>
    <w:rsid w:val="006D7710"/>
    <w:rsid w:val="006D7F10"/>
    <w:rsid w:val="006E0034"/>
    <w:rsid w:val="006E202B"/>
    <w:rsid w:val="006E2B50"/>
    <w:rsid w:val="006E389A"/>
    <w:rsid w:val="006E57B5"/>
    <w:rsid w:val="006E689C"/>
    <w:rsid w:val="006F57C1"/>
    <w:rsid w:val="006F6ECA"/>
    <w:rsid w:val="00700224"/>
    <w:rsid w:val="0070065D"/>
    <w:rsid w:val="00701219"/>
    <w:rsid w:val="00701B20"/>
    <w:rsid w:val="007022B6"/>
    <w:rsid w:val="007046A7"/>
    <w:rsid w:val="0070483D"/>
    <w:rsid w:val="00704C19"/>
    <w:rsid w:val="00704EDD"/>
    <w:rsid w:val="00706C1B"/>
    <w:rsid w:val="007102BC"/>
    <w:rsid w:val="007127BF"/>
    <w:rsid w:val="007131EF"/>
    <w:rsid w:val="00714A4D"/>
    <w:rsid w:val="00715129"/>
    <w:rsid w:val="00715194"/>
    <w:rsid w:val="0072208B"/>
    <w:rsid w:val="00722258"/>
    <w:rsid w:val="00722FCF"/>
    <w:rsid w:val="007240AA"/>
    <w:rsid w:val="007244C1"/>
    <w:rsid w:val="00724D16"/>
    <w:rsid w:val="007252A3"/>
    <w:rsid w:val="007259BC"/>
    <w:rsid w:val="00725A18"/>
    <w:rsid w:val="00727EF3"/>
    <w:rsid w:val="007303FE"/>
    <w:rsid w:val="00731B84"/>
    <w:rsid w:val="00733A68"/>
    <w:rsid w:val="007348D6"/>
    <w:rsid w:val="007356FD"/>
    <w:rsid w:val="00736C13"/>
    <w:rsid w:val="00737E65"/>
    <w:rsid w:val="00737E8D"/>
    <w:rsid w:val="0074030A"/>
    <w:rsid w:val="00741C25"/>
    <w:rsid w:val="0074226C"/>
    <w:rsid w:val="0074331A"/>
    <w:rsid w:val="00743375"/>
    <w:rsid w:val="00744CBB"/>
    <w:rsid w:val="0074536D"/>
    <w:rsid w:val="00745B1C"/>
    <w:rsid w:val="00746874"/>
    <w:rsid w:val="007476A1"/>
    <w:rsid w:val="00747DF9"/>
    <w:rsid w:val="0075136B"/>
    <w:rsid w:val="00751473"/>
    <w:rsid w:val="0075191A"/>
    <w:rsid w:val="007519CF"/>
    <w:rsid w:val="00751F7F"/>
    <w:rsid w:val="00752D8D"/>
    <w:rsid w:val="0075474D"/>
    <w:rsid w:val="007548E6"/>
    <w:rsid w:val="00754FB8"/>
    <w:rsid w:val="0075582B"/>
    <w:rsid w:val="00756F8E"/>
    <w:rsid w:val="00757FF4"/>
    <w:rsid w:val="00760468"/>
    <w:rsid w:val="00761BDC"/>
    <w:rsid w:val="00761D87"/>
    <w:rsid w:val="00762645"/>
    <w:rsid w:val="007633C2"/>
    <w:rsid w:val="007642C2"/>
    <w:rsid w:val="00764BF9"/>
    <w:rsid w:val="00765A47"/>
    <w:rsid w:val="00765B41"/>
    <w:rsid w:val="007670C9"/>
    <w:rsid w:val="007702DA"/>
    <w:rsid w:val="00770E82"/>
    <w:rsid w:val="00771E95"/>
    <w:rsid w:val="00772E94"/>
    <w:rsid w:val="007730B7"/>
    <w:rsid w:val="007732A0"/>
    <w:rsid w:val="00773AA8"/>
    <w:rsid w:val="00773DAA"/>
    <w:rsid w:val="00777124"/>
    <w:rsid w:val="00777E37"/>
    <w:rsid w:val="00777F4D"/>
    <w:rsid w:val="00781313"/>
    <w:rsid w:val="00781476"/>
    <w:rsid w:val="00782CD2"/>
    <w:rsid w:val="00782FAE"/>
    <w:rsid w:val="0078467E"/>
    <w:rsid w:val="00784EDB"/>
    <w:rsid w:val="00790A81"/>
    <w:rsid w:val="007913FD"/>
    <w:rsid w:val="007938BE"/>
    <w:rsid w:val="00794448"/>
    <w:rsid w:val="00794C65"/>
    <w:rsid w:val="0079789E"/>
    <w:rsid w:val="007A093D"/>
    <w:rsid w:val="007A3C44"/>
    <w:rsid w:val="007A4200"/>
    <w:rsid w:val="007A453E"/>
    <w:rsid w:val="007A4FB0"/>
    <w:rsid w:val="007A588D"/>
    <w:rsid w:val="007A6BC8"/>
    <w:rsid w:val="007A7977"/>
    <w:rsid w:val="007B028B"/>
    <w:rsid w:val="007B0534"/>
    <w:rsid w:val="007B17CC"/>
    <w:rsid w:val="007B1D71"/>
    <w:rsid w:val="007B378F"/>
    <w:rsid w:val="007B38DE"/>
    <w:rsid w:val="007B38EB"/>
    <w:rsid w:val="007B4505"/>
    <w:rsid w:val="007B5351"/>
    <w:rsid w:val="007B76CC"/>
    <w:rsid w:val="007C2186"/>
    <w:rsid w:val="007C53AE"/>
    <w:rsid w:val="007C5B19"/>
    <w:rsid w:val="007C6754"/>
    <w:rsid w:val="007C776F"/>
    <w:rsid w:val="007C7C93"/>
    <w:rsid w:val="007D0465"/>
    <w:rsid w:val="007D0ACA"/>
    <w:rsid w:val="007D1FF3"/>
    <w:rsid w:val="007D36F1"/>
    <w:rsid w:val="007D3C7A"/>
    <w:rsid w:val="007D52FE"/>
    <w:rsid w:val="007D5405"/>
    <w:rsid w:val="007D5FA5"/>
    <w:rsid w:val="007D7771"/>
    <w:rsid w:val="007E07CB"/>
    <w:rsid w:val="007E11C2"/>
    <w:rsid w:val="007E1BB6"/>
    <w:rsid w:val="007E26E6"/>
    <w:rsid w:val="007E3947"/>
    <w:rsid w:val="007E5467"/>
    <w:rsid w:val="007E57D6"/>
    <w:rsid w:val="007E5ABE"/>
    <w:rsid w:val="007E649F"/>
    <w:rsid w:val="007E66A5"/>
    <w:rsid w:val="007E6D50"/>
    <w:rsid w:val="007E702F"/>
    <w:rsid w:val="007E7985"/>
    <w:rsid w:val="007F186F"/>
    <w:rsid w:val="007F20A3"/>
    <w:rsid w:val="007F2233"/>
    <w:rsid w:val="007F2CFF"/>
    <w:rsid w:val="007F2ED3"/>
    <w:rsid w:val="007F300C"/>
    <w:rsid w:val="007F676F"/>
    <w:rsid w:val="007F7EC8"/>
    <w:rsid w:val="00800CFB"/>
    <w:rsid w:val="0080130C"/>
    <w:rsid w:val="0080231F"/>
    <w:rsid w:val="00802BF7"/>
    <w:rsid w:val="00802CA3"/>
    <w:rsid w:val="00804152"/>
    <w:rsid w:val="00805818"/>
    <w:rsid w:val="0080781F"/>
    <w:rsid w:val="00807F28"/>
    <w:rsid w:val="008100BE"/>
    <w:rsid w:val="008104BE"/>
    <w:rsid w:val="00810C55"/>
    <w:rsid w:val="0081170B"/>
    <w:rsid w:val="00811754"/>
    <w:rsid w:val="00811E20"/>
    <w:rsid w:val="00812EA3"/>
    <w:rsid w:val="00814036"/>
    <w:rsid w:val="00814108"/>
    <w:rsid w:val="00814B1B"/>
    <w:rsid w:val="00815948"/>
    <w:rsid w:val="00816A7B"/>
    <w:rsid w:val="008172B7"/>
    <w:rsid w:val="00817D29"/>
    <w:rsid w:val="00822792"/>
    <w:rsid w:val="00823367"/>
    <w:rsid w:val="00823630"/>
    <w:rsid w:val="00823CD7"/>
    <w:rsid w:val="00831D0D"/>
    <w:rsid w:val="00832050"/>
    <w:rsid w:val="00832615"/>
    <w:rsid w:val="00832D3D"/>
    <w:rsid w:val="00833119"/>
    <w:rsid w:val="008333E8"/>
    <w:rsid w:val="00833CE5"/>
    <w:rsid w:val="00835771"/>
    <w:rsid w:val="00837306"/>
    <w:rsid w:val="00837BCD"/>
    <w:rsid w:val="00840292"/>
    <w:rsid w:val="008403FD"/>
    <w:rsid w:val="00840DF0"/>
    <w:rsid w:val="00840EA6"/>
    <w:rsid w:val="00845D7E"/>
    <w:rsid w:val="0084675C"/>
    <w:rsid w:val="008473EB"/>
    <w:rsid w:val="00850333"/>
    <w:rsid w:val="008526C0"/>
    <w:rsid w:val="0085277B"/>
    <w:rsid w:val="008529C9"/>
    <w:rsid w:val="00852B36"/>
    <w:rsid w:val="00852CBD"/>
    <w:rsid w:val="00857043"/>
    <w:rsid w:val="0085772C"/>
    <w:rsid w:val="00857C50"/>
    <w:rsid w:val="008605FC"/>
    <w:rsid w:val="00860B77"/>
    <w:rsid w:val="00861932"/>
    <w:rsid w:val="00862119"/>
    <w:rsid w:val="0086327D"/>
    <w:rsid w:val="00863A41"/>
    <w:rsid w:val="00865949"/>
    <w:rsid w:val="00866111"/>
    <w:rsid w:val="00866D9A"/>
    <w:rsid w:val="008670C0"/>
    <w:rsid w:val="00867EED"/>
    <w:rsid w:val="008727F1"/>
    <w:rsid w:val="00872953"/>
    <w:rsid w:val="00873663"/>
    <w:rsid w:val="0087422F"/>
    <w:rsid w:val="0087648E"/>
    <w:rsid w:val="008765CA"/>
    <w:rsid w:val="00876A6A"/>
    <w:rsid w:val="008777CA"/>
    <w:rsid w:val="0087794B"/>
    <w:rsid w:val="0088092C"/>
    <w:rsid w:val="00882150"/>
    <w:rsid w:val="00882284"/>
    <w:rsid w:val="0088266C"/>
    <w:rsid w:val="008827A2"/>
    <w:rsid w:val="00882F1C"/>
    <w:rsid w:val="00883427"/>
    <w:rsid w:val="00884E29"/>
    <w:rsid w:val="008853E9"/>
    <w:rsid w:val="00885D2A"/>
    <w:rsid w:val="0088617A"/>
    <w:rsid w:val="00886DFE"/>
    <w:rsid w:val="00886FE0"/>
    <w:rsid w:val="00887A6E"/>
    <w:rsid w:val="00887F41"/>
    <w:rsid w:val="008918F5"/>
    <w:rsid w:val="00892778"/>
    <w:rsid w:val="00893D0D"/>
    <w:rsid w:val="008952B8"/>
    <w:rsid w:val="008959E5"/>
    <w:rsid w:val="00897D18"/>
    <w:rsid w:val="008A0319"/>
    <w:rsid w:val="008A0AFC"/>
    <w:rsid w:val="008A1CB4"/>
    <w:rsid w:val="008A21B2"/>
    <w:rsid w:val="008A4A14"/>
    <w:rsid w:val="008A5A1A"/>
    <w:rsid w:val="008A7D76"/>
    <w:rsid w:val="008B02DD"/>
    <w:rsid w:val="008B1F01"/>
    <w:rsid w:val="008B25DF"/>
    <w:rsid w:val="008B2B8F"/>
    <w:rsid w:val="008B32F6"/>
    <w:rsid w:val="008B3745"/>
    <w:rsid w:val="008B38C5"/>
    <w:rsid w:val="008B3A28"/>
    <w:rsid w:val="008B7D75"/>
    <w:rsid w:val="008C046C"/>
    <w:rsid w:val="008C2A3E"/>
    <w:rsid w:val="008C4B92"/>
    <w:rsid w:val="008C56BC"/>
    <w:rsid w:val="008C592F"/>
    <w:rsid w:val="008C649F"/>
    <w:rsid w:val="008C730A"/>
    <w:rsid w:val="008C734A"/>
    <w:rsid w:val="008C7B76"/>
    <w:rsid w:val="008C7C2A"/>
    <w:rsid w:val="008C7F68"/>
    <w:rsid w:val="008C7FB1"/>
    <w:rsid w:val="008D0D59"/>
    <w:rsid w:val="008D29F7"/>
    <w:rsid w:val="008D2CB8"/>
    <w:rsid w:val="008D3392"/>
    <w:rsid w:val="008D3FBA"/>
    <w:rsid w:val="008D445D"/>
    <w:rsid w:val="008D5E56"/>
    <w:rsid w:val="008D7FF3"/>
    <w:rsid w:val="008E0349"/>
    <w:rsid w:val="008E0D56"/>
    <w:rsid w:val="008E206B"/>
    <w:rsid w:val="008E21D6"/>
    <w:rsid w:val="008E2FA4"/>
    <w:rsid w:val="008E380C"/>
    <w:rsid w:val="008E3E94"/>
    <w:rsid w:val="008E49DA"/>
    <w:rsid w:val="008E4D1D"/>
    <w:rsid w:val="008E6315"/>
    <w:rsid w:val="008E7406"/>
    <w:rsid w:val="008E7BBB"/>
    <w:rsid w:val="008F1D0D"/>
    <w:rsid w:val="008F25D2"/>
    <w:rsid w:val="008F2716"/>
    <w:rsid w:val="008F4098"/>
    <w:rsid w:val="008F46E7"/>
    <w:rsid w:val="008F5D47"/>
    <w:rsid w:val="008F6A71"/>
    <w:rsid w:val="008F72D4"/>
    <w:rsid w:val="00900809"/>
    <w:rsid w:val="00902776"/>
    <w:rsid w:val="00903134"/>
    <w:rsid w:val="00903143"/>
    <w:rsid w:val="009058CB"/>
    <w:rsid w:val="00905A33"/>
    <w:rsid w:val="00906C13"/>
    <w:rsid w:val="00907AF8"/>
    <w:rsid w:val="00907CC2"/>
    <w:rsid w:val="00910A53"/>
    <w:rsid w:val="009116D7"/>
    <w:rsid w:val="009124A0"/>
    <w:rsid w:val="00912643"/>
    <w:rsid w:val="00912914"/>
    <w:rsid w:val="00914CC6"/>
    <w:rsid w:val="009155A8"/>
    <w:rsid w:val="00915AF6"/>
    <w:rsid w:val="009161C2"/>
    <w:rsid w:val="009249D5"/>
    <w:rsid w:val="00924F18"/>
    <w:rsid w:val="009253B8"/>
    <w:rsid w:val="00925D4C"/>
    <w:rsid w:val="00925DAF"/>
    <w:rsid w:val="0092645B"/>
    <w:rsid w:val="00926773"/>
    <w:rsid w:val="00926880"/>
    <w:rsid w:val="00932067"/>
    <w:rsid w:val="009321F2"/>
    <w:rsid w:val="0093289A"/>
    <w:rsid w:val="009339C3"/>
    <w:rsid w:val="00933CCF"/>
    <w:rsid w:val="00937319"/>
    <w:rsid w:val="009419F8"/>
    <w:rsid w:val="00942C92"/>
    <w:rsid w:val="00942DC6"/>
    <w:rsid w:val="00945495"/>
    <w:rsid w:val="00945C21"/>
    <w:rsid w:val="009461E8"/>
    <w:rsid w:val="00946F78"/>
    <w:rsid w:val="0095167C"/>
    <w:rsid w:val="0095181E"/>
    <w:rsid w:val="00952444"/>
    <w:rsid w:val="00952ABD"/>
    <w:rsid w:val="00953A6F"/>
    <w:rsid w:val="00956130"/>
    <w:rsid w:val="00956CD6"/>
    <w:rsid w:val="009571FD"/>
    <w:rsid w:val="009600DC"/>
    <w:rsid w:val="009605E2"/>
    <w:rsid w:val="00961092"/>
    <w:rsid w:val="00961238"/>
    <w:rsid w:val="00962152"/>
    <w:rsid w:val="00962D85"/>
    <w:rsid w:val="0096540A"/>
    <w:rsid w:val="0096671E"/>
    <w:rsid w:val="00967093"/>
    <w:rsid w:val="00967DEB"/>
    <w:rsid w:val="0097035A"/>
    <w:rsid w:val="009709A1"/>
    <w:rsid w:val="00971AD7"/>
    <w:rsid w:val="00971B0C"/>
    <w:rsid w:val="009723F2"/>
    <w:rsid w:val="0097298A"/>
    <w:rsid w:val="00972FB5"/>
    <w:rsid w:val="00973DB3"/>
    <w:rsid w:val="00973F7C"/>
    <w:rsid w:val="0097555C"/>
    <w:rsid w:val="00977C0E"/>
    <w:rsid w:val="00981B30"/>
    <w:rsid w:val="0098207D"/>
    <w:rsid w:val="00983E02"/>
    <w:rsid w:val="00986403"/>
    <w:rsid w:val="00986901"/>
    <w:rsid w:val="00987064"/>
    <w:rsid w:val="009901FD"/>
    <w:rsid w:val="009924EF"/>
    <w:rsid w:val="009949A1"/>
    <w:rsid w:val="00994D80"/>
    <w:rsid w:val="00994FE8"/>
    <w:rsid w:val="009951D6"/>
    <w:rsid w:val="00995776"/>
    <w:rsid w:val="009A0333"/>
    <w:rsid w:val="009A08CE"/>
    <w:rsid w:val="009A0DB5"/>
    <w:rsid w:val="009A4C2A"/>
    <w:rsid w:val="009A50FC"/>
    <w:rsid w:val="009A788D"/>
    <w:rsid w:val="009A7B0D"/>
    <w:rsid w:val="009B2FD5"/>
    <w:rsid w:val="009B3505"/>
    <w:rsid w:val="009B49F8"/>
    <w:rsid w:val="009B5919"/>
    <w:rsid w:val="009B7F3E"/>
    <w:rsid w:val="009C27B2"/>
    <w:rsid w:val="009C2ACE"/>
    <w:rsid w:val="009C37FF"/>
    <w:rsid w:val="009C3951"/>
    <w:rsid w:val="009C41A1"/>
    <w:rsid w:val="009C450D"/>
    <w:rsid w:val="009C458A"/>
    <w:rsid w:val="009C49AB"/>
    <w:rsid w:val="009C5D2A"/>
    <w:rsid w:val="009C6AD9"/>
    <w:rsid w:val="009C707C"/>
    <w:rsid w:val="009C7212"/>
    <w:rsid w:val="009C79FC"/>
    <w:rsid w:val="009C7B4A"/>
    <w:rsid w:val="009C7BD1"/>
    <w:rsid w:val="009D0437"/>
    <w:rsid w:val="009D0CFC"/>
    <w:rsid w:val="009D18D4"/>
    <w:rsid w:val="009D240E"/>
    <w:rsid w:val="009D3CE3"/>
    <w:rsid w:val="009D4EF0"/>
    <w:rsid w:val="009D51F8"/>
    <w:rsid w:val="009D6938"/>
    <w:rsid w:val="009E0695"/>
    <w:rsid w:val="009E3385"/>
    <w:rsid w:val="009E510B"/>
    <w:rsid w:val="009E5411"/>
    <w:rsid w:val="009E6128"/>
    <w:rsid w:val="009F1365"/>
    <w:rsid w:val="009F1F1F"/>
    <w:rsid w:val="009F3F07"/>
    <w:rsid w:val="009F4723"/>
    <w:rsid w:val="009F4E3B"/>
    <w:rsid w:val="009F5F74"/>
    <w:rsid w:val="009F63AB"/>
    <w:rsid w:val="009F68FB"/>
    <w:rsid w:val="009F72B3"/>
    <w:rsid w:val="009F76C6"/>
    <w:rsid w:val="00A000B2"/>
    <w:rsid w:val="00A00361"/>
    <w:rsid w:val="00A00F28"/>
    <w:rsid w:val="00A02CCD"/>
    <w:rsid w:val="00A031C6"/>
    <w:rsid w:val="00A05818"/>
    <w:rsid w:val="00A05EF5"/>
    <w:rsid w:val="00A06466"/>
    <w:rsid w:val="00A0678A"/>
    <w:rsid w:val="00A07474"/>
    <w:rsid w:val="00A1053D"/>
    <w:rsid w:val="00A1073B"/>
    <w:rsid w:val="00A109EB"/>
    <w:rsid w:val="00A11054"/>
    <w:rsid w:val="00A11438"/>
    <w:rsid w:val="00A11741"/>
    <w:rsid w:val="00A11F6F"/>
    <w:rsid w:val="00A154CC"/>
    <w:rsid w:val="00A16514"/>
    <w:rsid w:val="00A1660E"/>
    <w:rsid w:val="00A179C9"/>
    <w:rsid w:val="00A20116"/>
    <w:rsid w:val="00A21781"/>
    <w:rsid w:val="00A2313A"/>
    <w:rsid w:val="00A23837"/>
    <w:rsid w:val="00A241E7"/>
    <w:rsid w:val="00A25054"/>
    <w:rsid w:val="00A25847"/>
    <w:rsid w:val="00A25C97"/>
    <w:rsid w:val="00A26265"/>
    <w:rsid w:val="00A3067B"/>
    <w:rsid w:val="00A31C88"/>
    <w:rsid w:val="00A331E7"/>
    <w:rsid w:val="00A3539D"/>
    <w:rsid w:val="00A35D73"/>
    <w:rsid w:val="00A35E60"/>
    <w:rsid w:val="00A35FA2"/>
    <w:rsid w:val="00A3631E"/>
    <w:rsid w:val="00A365EA"/>
    <w:rsid w:val="00A36FFF"/>
    <w:rsid w:val="00A40F61"/>
    <w:rsid w:val="00A41392"/>
    <w:rsid w:val="00A4159F"/>
    <w:rsid w:val="00A41C3C"/>
    <w:rsid w:val="00A41CD8"/>
    <w:rsid w:val="00A4228E"/>
    <w:rsid w:val="00A422EB"/>
    <w:rsid w:val="00A42456"/>
    <w:rsid w:val="00A43B8C"/>
    <w:rsid w:val="00A44131"/>
    <w:rsid w:val="00A44C2F"/>
    <w:rsid w:val="00A44F03"/>
    <w:rsid w:val="00A47767"/>
    <w:rsid w:val="00A5093B"/>
    <w:rsid w:val="00A50DBE"/>
    <w:rsid w:val="00A5119A"/>
    <w:rsid w:val="00A5514E"/>
    <w:rsid w:val="00A56226"/>
    <w:rsid w:val="00A56619"/>
    <w:rsid w:val="00A57D42"/>
    <w:rsid w:val="00A60367"/>
    <w:rsid w:val="00A607B1"/>
    <w:rsid w:val="00A60834"/>
    <w:rsid w:val="00A63DC6"/>
    <w:rsid w:val="00A64008"/>
    <w:rsid w:val="00A641E8"/>
    <w:rsid w:val="00A64A5C"/>
    <w:rsid w:val="00A64FAE"/>
    <w:rsid w:val="00A655A0"/>
    <w:rsid w:val="00A65756"/>
    <w:rsid w:val="00A65DF4"/>
    <w:rsid w:val="00A666F0"/>
    <w:rsid w:val="00A66E60"/>
    <w:rsid w:val="00A70033"/>
    <w:rsid w:val="00A70222"/>
    <w:rsid w:val="00A70A78"/>
    <w:rsid w:val="00A70AAA"/>
    <w:rsid w:val="00A723BF"/>
    <w:rsid w:val="00A73BB9"/>
    <w:rsid w:val="00A73E9E"/>
    <w:rsid w:val="00A7441B"/>
    <w:rsid w:val="00A7635D"/>
    <w:rsid w:val="00A7661D"/>
    <w:rsid w:val="00A77472"/>
    <w:rsid w:val="00A776C8"/>
    <w:rsid w:val="00A8090F"/>
    <w:rsid w:val="00A81031"/>
    <w:rsid w:val="00A821B8"/>
    <w:rsid w:val="00A821D0"/>
    <w:rsid w:val="00A846B0"/>
    <w:rsid w:val="00A859FC"/>
    <w:rsid w:val="00A8726A"/>
    <w:rsid w:val="00A877A7"/>
    <w:rsid w:val="00A87D3A"/>
    <w:rsid w:val="00A91007"/>
    <w:rsid w:val="00A91653"/>
    <w:rsid w:val="00A91B8F"/>
    <w:rsid w:val="00A9334C"/>
    <w:rsid w:val="00A938DD"/>
    <w:rsid w:val="00A93916"/>
    <w:rsid w:val="00A93B1C"/>
    <w:rsid w:val="00A94142"/>
    <w:rsid w:val="00A95736"/>
    <w:rsid w:val="00A95F74"/>
    <w:rsid w:val="00A96E64"/>
    <w:rsid w:val="00A97EF8"/>
    <w:rsid w:val="00AA1851"/>
    <w:rsid w:val="00AA23EC"/>
    <w:rsid w:val="00AA2649"/>
    <w:rsid w:val="00AA3AF9"/>
    <w:rsid w:val="00AA460C"/>
    <w:rsid w:val="00AA4AAE"/>
    <w:rsid w:val="00AA59BD"/>
    <w:rsid w:val="00AA6095"/>
    <w:rsid w:val="00AA61E5"/>
    <w:rsid w:val="00AB166D"/>
    <w:rsid w:val="00AB2A47"/>
    <w:rsid w:val="00AB396E"/>
    <w:rsid w:val="00AB4DB1"/>
    <w:rsid w:val="00AB5173"/>
    <w:rsid w:val="00AB5E17"/>
    <w:rsid w:val="00AB6146"/>
    <w:rsid w:val="00AB65B5"/>
    <w:rsid w:val="00AB689C"/>
    <w:rsid w:val="00AB7386"/>
    <w:rsid w:val="00AB752D"/>
    <w:rsid w:val="00AB79F3"/>
    <w:rsid w:val="00AC0527"/>
    <w:rsid w:val="00AC20DF"/>
    <w:rsid w:val="00AC27F5"/>
    <w:rsid w:val="00AC39EF"/>
    <w:rsid w:val="00AC65E9"/>
    <w:rsid w:val="00AD0616"/>
    <w:rsid w:val="00AD0CF2"/>
    <w:rsid w:val="00AD0D6D"/>
    <w:rsid w:val="00AD2611"/>
    <w:rsid w:val="00AD27F1"/>
    <w:rsid w:val="00AD2CF0"/>
    <w:rsid w:val="00AD2E70"/>
    <w:rsid w:val="00AD416B"/>
    <w:rsid w:val="00AD515A"/>
    <w:rsid w:val="00AD6209"/>
    <w:rsid w:val="00AD7EC5"/>
    <w:rsid w:val="00AE02CD"/>
    <w:rsid w:val="00AE039F"/>
    <w:rsid w:val="00AE0C3A"/>
    <w:rsid w:val="00AE1706"/>
    <w:rsid w:val="00AE1E52"/>
    <w:rsid w:val="00AE2BD2"/>
    <w:rsid w:val="00AE3D64"/>
    <w:rsid w:val="00AE4F24"/>
    <w:rsid w:val="00AE555B"/>
    <w:rsid w:val="00AE60F2"/>
    <w:rsid w:val="00AE6B1F"/>
    <w:rsid w:val="00AE786C"/>
    <w:rsid w:val="00AF157C"/>
    <w:rsid w:val="00AF2C0E"/>
    <w:rsid w:val="00AF3536"/>
    <w:rsid w:val="00AF5A0B"/>
    <w:rsid w:val="00AF78C3"/>
    <w:rsid w:val="00B03DD6"/>
    <w:rsid w:val="00B0566D"/>
    <w:rsid w:val="00B057E9"/>
    <w:rsid w:val="00B100E7"/>
    <w:rsid w:val="00B1121C"/>
    <w:rsid w:val="00B11BA9"/>
    <w:rsid w:val="00B13269"/>
    <w:rsid w:val="00B143AE"/>
    <w:rsid w:val="00B148DF"/>
    <w:rsid w:val="00B1660F"/>
    <w:rsid w:val="00B17D46"/>
    <w:rsid w:val="00B20150"/>
    <w:rsid w:val="00B20E65"/>
    <w:rsid w:val="00B22186"/>
    <w:rsid w:val="00B2256E"/>
    <w:rsid w:val="00B245D8"/>
    <w:rsid w:val="00B24790"/>
    <w:rsid w:val="00B30210"/>
    <w:rsid w:val="00B3036E"/>
    <w:rsid w:val="00B3142D"/>
    <w:rsid w:val="00B31571"/>
    <w:rsid w:val="00B316D2"/>
    <w:rsid w:val="00B31A28"/>
    <w:rsid w:val="00B328A8"/>
    <w:rsid w:val="00B3445A"/>
    <w:rsid w:val="00B34CDE"/>
    <w:rsid w:val="00B358BE"/>
    <w:rsid w:val="00B36903"/>
    <w:rsid w:val="00B36FFF"/>
    <w:rsid w:val="00B37387"/>
    <w:rsid w:val="00B37A71"/>
    <w:rsid w:val="00B37DE2"/>
    <w:rsid w:val="00B37DE8"/>
    <w:rsid w:val="00B406EB"/>
    <w:rsid w:val="00B40DD7"/>
    <w:rsid w:val="00B41376"/>
    <w:rsid w:val="00B41BCB"/>
    <w:rsid w:val="00B42176"/>
    <w:rsid w:val="00B440A7"/>
    <w:rsid w:val="00B44542"/>
    <w:rsid w:val="00B45E7C"/>
    <w:rsid w:val="00B46012"/>
    <w:rsid w:val="00B47A57"/>
    <w:rsid w:val="00B50870"/>
    <w:rsid w:val="00B514B3"/>
    <w:rsid w:val="00B51D16"/>
    <w:rsid w:val="00B522B7"/>
    <w:rsid w:val="00B52A19"/>
    <w:rsid w:val="00B5321A"/>
    <w:rsid w:val="00B534F0"/>
    <w:rsid w:val="00B53DD3"/>
    <w:rsid w:val="00B547E6"/>
    <w:rsid w:val="00B54B92"/>
    <w:rsid w:val="00B551CB"/>
    <w:rsid w:val="00B6276C"/>
    <w:rsid w:val="00B639B7"/>
    <w:rsid w:val="00B666FB"/>
    <w:rsid w:val="00B71052"/>
    <w:rsid w:val="00B71367"/>
    <w:rsid w:val="00B7244F"/>
    <w:rsid w:val="00B74099"/>
    <w:rsid w:val="00B801A3"/>
    <w:rsid w:val="00B80717"/>
    <w:rsid w:val="00B8090D"/>
    <w:rsid w:val="00B80AB5"/>
    <w:rsid w:val="00B81DE6"/>
    <w:rsid w:val="00B8290A"/>
    <w:rsid w:val="00B84856"/>
    <w:rsid w:val="00B84E4C"/>
    <w:rsid w:val="00B866FB"/>
    <w:rsid w:val="00B86745"/>
    <w:rsid w:val="00B87431"/>
    <w:rsid w:val="00B91202"/>
    <w:rsid w:val="00B91F5A"/>
    <w:rsid w:val="00B9226E"/>
    <w:rsid w:val="00B92420"/>
    <w:rsid w:val="00B93A9E"/>
    <w:rsid w:val="00B93D7C"/>
    <w:rsid w:val="00B94291"/>
    <w:rsid w:val="00B949D0"/>
    <w:rsid w:val="00B95111"/>
    <w:rsid w:val="00B9615D"/>
    <w:rsid w:val="00B975C8"/>
    <w:rsid w:val="00BA0BF9"/>
    <w:rsid w:val="00BA112E"/>
    <w:rsid w:val="00BA5F7E"/>
    <w:rsid w:val="00BA66FA"/>
    <w:rsid w:val="00BA7A75"/>
    <w:rsid w:val="00BB02FB"/>
    <w:rsid w:val="00BB12B0"/>
    <w:rsid w:val="00BB1EBC"/>
    <w:rsid w:val="00BB2B61"/>
    <w:rsid w:val="00BB56C3"/>
    <w:rsid w:val="00BB66F5"/>
    <w:rsid w:val="00BC001B"/>
    <w:rsid w:val="00BC1F65"/>
    <w:rsid w:val="00BC21E5"/>
    <w:rsid w:val="00BC304A"/>
    <w:rsid w:val="00BC3240"/>
    <w:rsid w:val="00BC399E"/>
    <w:rsid w:val="00BC3A09"/>
    <w:rsid w:val="00BC3E98"/>
    <w:rsid w:val="00BC4C7D"/>
    <w:rsid w:val="00BC5224"/>
    <w:rsid w:val="00BC6888"/>
    <w:rsid w:val="00BC69CA"/>
    <w:rsid w:val="00BC6A56"/>
    <w:rsid w:val="00BD00B8"/>
    <w:rsid w:val="00BD01C3"/>
    <w:rsid w:val="00BD1FD2"/>
    <w:rsid w:val="00BD2F82"/>
    <w:rsid w:val="00BD3467"/>
    <w:rsid w:val="00BD34E4"/>
    <w:rsid w:val="00BD4BC4"/>
    <w:rsid w:val="00BD7BEB"/>
    <w:rsid w:val="00BE002B"/>
    <w:rsid w:val="00BE0D86"/>
    <w:rsid w:val="00BE1A24"/>
    <w:rsid w:val="00BE30AF"/>
    <w:rsid w:val="00BE3EF9"/>
    <w:rsid w:val="00BE6190"/>
    <w:rsid w:val="00BE6B32"/>
    <w:rsid w:val="00BE7840"/>
    <w:rsid w:val="00BF19CC"/>
    <w:rsid w:val="00BF1E46"/>
    <w:rsid w:val="00BF272A"/>
    <w:rsid w:val="00BF3BE1"/>
    <w:rsid w:val="00BF444C"/>
    <w:rsid w:val="00BF4C03"/>
    <w:rsid w:val="00BF6138"/>
    <w:rsid w:val="00BF69FB"/>
    <w:rsid w:val="00C0070D"/>
    <w:rsid w:val="00C00765"/>
    <w:rsid w:val="00C016FB"/>
    <w:rsid w:val="00C04704"/>
    <w:rsid w:val="00C04C54"/>
    <w:rsid w:val="00C05141"/>
    <w:rsid w:val="00C10464"/>
    <w:rsid w:val="00C12A5F"/>
    <w:rsid w:val="00C15374"/>
    <w:rsid w:val="00C15958"/>
    <w:rsid w:val="00C15C7F"/>
    <w:rsid w:val="00C1684B"/>
    <w:rsid w:val="00C16ADF"/>
    <w:rsid w:val="00C20EB0"/>
    <w:rsid w:val="00C215B1"/>
    <w:rsid w:val="00C2320D"/>
    <w:rsid w:val="00C23D66"/>
    <w:rsid w:val="00C25987"/>
    <w:rsid w:val="00C25C42"/>
    <w:rsid w:val="00C26312"/>
    <w:rsid w:val="00C2700E"/>
    <w:rsid w:val="00C27502"/>
    <w:rsid w:val="00C275B5"/>
    <w:rsid w:val="00C32B0B"/>
    <w:rsid w:val="00C34912"/>
    <w:rsid w:val="00C35DB3"/>
    <w:rsid w:val="00C37ABB"/>
    <w:rsid w:val="00C40967"/>
    <w:rsid w:val="00C4310F"/>
    <w:rsid w:val="00C44479"/>
    <w:rsid w:val="00C44DB3"/>
    <w:rsid w:val="00C47A78"/>
    <w:rsid w:val="00C47CEB"/>
    <w:rsid w:val="00C50ADF"/>
    <w:rsid w:val="00C52C1A"/>
    <w:rsid w:val="00C532B5"/>
    <w:rsid w:val="00C54E90"/>
    <w:rsid w:val="00C54EE6"/>
    <w:rsid w:val="00C55A22"/>
    <w:rsid w:val="00C56980"/>
    <w:rsid w:val="00C56B5D"/>
    <w:rsid w:val="00C61718"/>
    <w:rsid w:val="00C61854"/>
    <w:rsid w:val="00C61BF8"/>
    <w:rsid w:val="00C61EB1"/>
    <w:rsid w:val="00C6345C"/>
    <w:rsid w:val="00C63D43"/>
    <w:rsid w:val="00C64ADA"/>
    <w:rsid w:val="00C65EA4"/>
    <w:rsid w:val="00C662AF"/>
    <w:rsid w:val="00C669C3"/>
    <w:rsid w:val="00C710A7"/>
    <w:rsid w:val="00C74134"/>
    <w:rsid w:val="00C74284"/>
    <w:rsid w:val="00C7673F"/>
    <w:rsid w:val="00C767F4"/>
    <w:rsid w:val="00C774B4"/>
    <w:rsid w:val="00C81E0D"/>
    <w:rsid w:val="00C823B1"/>
    <w:rsid w:val="00C83D67"/>
    <w:rsid w:val="00C83EFD"/>
    <w:rsid w:val="00C87F9B"/>
    <w:rsid w:val="00C90708"/>
    <w:rsid w:val="00C91514"/>
    <w:rsid w:val="00C9385E"/>
    <w:rsid w:val="00C93CAF"/>
    <w:rsid w:val="00C95FBE"/>
    <w:rsid w:val="00C9667C"/>
    <w:rsid w:val="00C966A0"/>
    <w:rsid w:val="00CA18D5"/>
    <w:rsid w:val="00CA1B34"/>
    <w:rsid w:val="00CA267B"/>
    <w:rsid w:val="00CA271E"/>
    <w:rsid w:val="00CA2BD6"/>
    <w:rsid w:val="00CA4DF8"/>
    <w:rsid w:val="00CA524B"/>
    <w:rsid w:val="00CA5428"/>
    <w:rsid w:val="00CA5502"/>
    <w:rsid w:val="00CA65B1"/>
    <w:rsid w:val="00CA6855"/>
    <w:rsid w:val="00CB3567"/>
    <w:rsid w:val="00CB3ED1"/>
    <w:rsid w:val="00CB4F7B"/>
    <w:rsid w:val="00CB6BFD"/>
    <w:rsid w:val="00CB6CB7"/>
    <w:rsid w:val="00CB7414"/>
    <w:rsid w:val="00CB7692"/>
    <w:rsid w:val="00CB78F4"/>
    <w:rsid w:val="00CC0B85"/>
    <w:rsid w:val="00CC2301"/>
    <w:rsid w:val="00CC2382"/>
    <w:rsid w:val="00CC2718"/>
    <w:rsid w:val="00CC2FA1"/>
    <w:rsid w:val="00CC35EA"/>
    <w:rsid w:val="00CC4327"/>
    <w:rsid w:val="00CC4A6B"/>
    <w:rsid w:val="00CC4C7D"/>
    <w:rsid w:val="00CC6055"/>
    <w:rsid w:val="00CC62BB"/>
    <w:rsid w:val="00CC6CC1"/>
    <w:rsid w:val="00CC6F2A"/>
    <w:rsid w:val="00CD0843"/>
    <w:rsid w:val="00CD09F2"/>
    <w:rsid w:val="00CD32DA"/>
    <w:rsid w:val="00CD3663"/>
    <w:rsid w:val="00CD4857"/>
    <w:rsid w:val="00CD4D77"/>
    <w:rsid w:val="00CD6239"/>
    <w:rsid w:val="00CD7603"/>
    <w:rsid w:val="00CE09FE"/>
    <w:rsid w:val="00CE1116"/>
    <w:rsid w:val="00CE1A8E"/>
    <w:rsid w:val="00CE3725"/>
    <w:rsid w:val="00CE4B43"/>
    <w:rsid w:val="00CE570E"/>
    <w:rsid w:val="00CE72DC"/>
    <w:rsid w:val="00CF2992"/>
    <w:rsid w:val="00CF30A3"/>
    <w:rsid w:val="00CF3A2F"/>
    <w:rsid w:val="00CF42C3"/>
    <w:rsid w:val="00CF448C"/>
    <w:rsid w:val="00CF4C5C"/>
    <w:rsid w:val="00CF6106"/>
    <w:rsid w:val="00CF72B3"/>
    <w:rsid w:val="00D0011B"/>
    <w:rsid w:val="00D00546"/>
    <w:rsid w:val="00D01290"/>
    <w:rsid w:val="00D01CFE"/>
    <w:rsid w:val="00D01DD3"/>
    <w:rsid w:val="00D02DEE"/>
    <w:rsid w:val="00D03731"/>
    <w:rsid w:val="00D037AE"/>
    <w:rsid w:val="00D03BE0"/>
    <w:rsid w:val="00D043B1"/>
    <w:rsid w:val="00D0542D"/>
    <w:rsid w:val="00D05FBD"/>
    <w:rsid w:val="00D07C4B"/>
    <w:rsid w:val="00D11081"/>
    <w:rsid w:val="00D1125B"/>
    <w:rsid w:val="00D11529"/>
    <w:rsid w:val="00D12007"/>
    <w:rsid w:val="00D13918"/>
    <w:rsid w:val="00D15613"/>
    <w:rsid w:val="00D174B7"/>
    <w:rsid w:val="00D21C78"/>
    <w:rsid w:val="00D225D8"/>
    <w:rsid w:val="00D241E5"/>
    <w:rsid w:val="00D2610F"/>
    <w:rsid w:val="00D2679B"/>
    <w:rsid w:val="00D26D0C"/>
    <w:rsid w:val="00D30494"/>
    <w:rsid w:val="00D329C9"/>
    <w:rsid w:val="00D32D11"/>
    <w:rsid w:val="00D32DE3"/>
    <w:rsid w:val="00D33A2E"/>
    <w:rsid w:val="00D354C3"/>
    <w:rsid w:val="00D41957"/>
    <w:rsid w:val="00D42804"/>
    <w:rsid w:val="00D4420F"/>
    <w:rsid w:val="00D44F0D"/>
    <w:rsid w:val="00D45EB0"/>
    <w:rsid w:val="00D463E7"/>
    <w:rsid w:val="00D46EAA"/>
    <w:rsid w:val="00D506FC"/>
    <w:rsid w:val="00D50F18"/>
    <w:rsid w:val="00D5171D"/>
    <w:rsid w:val="00D522D5"/>
    <w:rsid w:val="00D54E97"/>
    <w:rsid w:val="00D555FD"/>
    <w:rsid w:val="00D56336"/>
    <w:rsid w:val="00D566C1"/>
    <w:rsid w:val="00D60F92"/>
    <w:rsid w:val="00D612D6"/>
    <w:rsid w:val="00D614B6"/>
    <w:rsid w:val="00D621D1"/>
    <w:rsid w:val="00D62E09"/>
    <w:rsid w:val="00D65A62"/>
    <w:rsid w:val="00D65E70"/>
    <w:rsid w:val="00D66042"/>
    <w:rsid w:val="00D71400"/>
    <w:rsid w:val="00D7178E"/>
    <w:rsid w:val="00D7247F"/>
    <w:rsid w:val="00D73835"/>
    <w:rsid w:val="00D7386E"/>
    <w:rsid w:val="00D73F9D"/>
    <w:rsid w:val="00D74237"/>
    <w:rsid w:val="00D76019"/>
    <w:rsid w:val="00D80850"/>
    <w:rsid w:val="00D81170"/>
    <w:rsid w:val="00D81522"/>
    <w:rsid w:val="00D82C99"/>
    <w:rsid w:val="00D83081"/>
    <w:rsid w:val="00D83898"/>
    <w:rsid w:val="00D83DBD"/>
    <w:rsid w:val="00D863F9"/>
    <w:rsid w:val="00D868FC"/>
    <w:rsid w:val="00D86F55"/>
    <w:rsid w:val="00D872BF"/>
    <w:rsid w:val="00D922C0"/>
    <w:rsid w:val="00D92897"/>
    <w:rsid w:val="00D92A9B"/>
    <w:rsid w:val="00D97429"/>
    <w:rsid w:val="00D97C83"/>
    <w:rsid w:val="00D97ECC"/>
    <w:rsid w:val="00DA0280"/>
    <w:rsid w:val="00DA1E3F"/>
    <w:rsid w:val="00DA313C"/>
    <w:rsid w:val="00DA31C1"/>
    <w:rsid w:val="00DA47AD"/>
    <w:rsid w:val="00DA4813"/>
    <w:rsid w:val="00DA506C"/>
    <w:rsid w:val="00DA5DB2"/>
    <w:rsid w:val="00DA61F9"/>
    <w:rsid w:val="00DA7339"/>
    <w:rsid w:val="00DA754A"/>
    <w:rsid w:val="00DB061C"/>
    <w:rsid w:val="00DB1AE0"/>
    <w:rsid w:val="00DB246D"/>
    <w:rsid w:val="00DB2A4E"/>
    <w:rsid w:val="00DB3A7E"/>
    <w:rsid w:val="00DB51EC"/>
    <w:rsid w:val="00DB6DC4"/>
    <w:rsid w:val="00DB73C2"/>
    <w:rsid w:val="00DC0651"/>
    <w:rsid w:val="00DC32C4"/>
    <w:rsid w:val="00DC4F24"/>
    <w:rsid w:val="00DC694D"/>
    <w:rsid w:val="00DC7FFA"/>
    <w:rsid w:val="00DD0644"/>
    <w:rsid w:val="00DD098A"/>
    <w:rsid w:val="00DD12FF"/>
    <w:rsid w:val="00DD18CE"/>
    <w:rsid w:val="00DD1918"/>
    <w:rsid w:val="00DD49DC"/>
    <w:rsid w:val="00DD4FA1"/>
    <w:rsid w:val="00DE01F6"/>
    <w:rsid w:val="00DE093C"/>
    <w:rsid w:val="00DE1399"/>
    <w:rsid w:val="00DE268B"/>
    <w:rsid w:val="00DE4223"/>
    <w:rsid w:val="00DE643A"/>
    <w:rsid w:val="00DF07F2"/>
    <w:rsid w:val="00DF13AA"/>
    <w:rsid w:val="00DF2B11"/>
    <w:rsid w:val="00DF4F13"/>
    <w:rsid w:val="00DF60F5"/>
    <w:rsid w:val="00DF624F"/>
    <w:rsid w:val="00DF6DF8"/>
    <w:rsid w:val="00DF7309"/>
    <w:rsid w:val="00E006E7"/>
    <w:rsid w:val="00E0163F"/>
    <w:rsid w:val="00E019DE"/>
    <w:rsid w:val="00E02550"/>
    <w:rsid w:val="00E03409"/>
    <w:rsid w:val="00E05DF1"/>
    <w:rsid w:val="00E06D10"/>
    <w:rsid w:val="00E0734C"/>
    <w:rsid w:val="00E07F54"/>
    <w:rsid w:val="00E106FE"/>
    <w:rsid w:val="00E10B06"/>
    <w:rsid w:val="00E110D7"/>
    <w:rsid w:val="00E1236B"/>
    <w:rsid w:val="00E13778"/>
    <w:rsid w:val="00E14812"/>
    <w:rsid w:val="00E14FAC"/>
    <w:rsid w:val="00E15F05"/>
    <w:rsid w:val="00E17D55"/>
    <w:rsid w:val="00E2009E"/>
    <w:rsid w:val="00E20458"/>
    <w:rsid w:val="00E20BA7"/>
    <w:rsid w:val="00E23CBE"/>
    <w:rsid w:val="00E23D9B"/>
    <w:rsid w:val="00E25F0D"/>
    <w:rsid w:val="00E26981"/>
    <w:rsid w:val="00E26C3C"/>
    <w:rsid w:val="00E27327"/>
    <w:rsid w:val="00E27B2C"/>
    <w:rsid w:val="00E3198C"/>
    <w:rsid w:val="00E32101"/>
    <w:rsid w:val="00E328A2"/>
    <w:rsid w:val="00E328F0"/>
    <w:rsid w:val="00E32FFB"/>
    <w:rsid w:val="00E33327"/>
    <w:rsid w:val="00E346A4"/>
    <w:rsid w:val="00E36D09"/>
    <w:rsid w:val="00E41434"/>
    <w:rsid w:val="00E41E9A"/>
    <w:rsid w:val="00E44A64"/>
    <w:rsid w:val="00E44B3D"/>
    <w:rsid w:val="00E451A7"/>
    <w:rsid w:val="00E45203"/>
    <w:rsid w:val="00E46373"/>
    <w:rsid w:val="00E47849"/>
    <w:rsid w:val="00E47E36"/>
    <w:rsid w:val="00E51044"/>
    <w:rsid w:val="00E511F3"/>
    <w:rsid w:val="00E51EBA"/>
    <w:rsid w:val="00E51FC4"/>
    <w:rsid w:val="00E524FF"/>
    <w:rsid w:val="00E547C1"/>
    <w:rsid w:val="00E55EF6"/>
    <w:rsid w:val="00E55F5C"/>
    <w:rsid w:val="00E56487"/>
    <w:rsid w:val="00E57816"/>
    <w:rsid w:val="00E57FB2"/>
    <w:rsid w:val="00E601D3"/>
    <w:rsid w:val="00E62003"/>
    <w:rsid w:val="00E63F85"/>
    <w:rsid w:val="00E64BF1"/>
    <w:rsid w:val="00E65025"/>
    <w:rsid w:val="00E65C00"/>
    <w:rsid w:val="00E678C0"/>
    <w:rsid w:val="00E70BD7"/>
    <w:rsid w:val="00E70F06"/>
    <w:rsid w:val="00E71CBE"/>
    <w:rsid w:val="00E73D2D"/>
    <w:rsid w:val="00E74775"/>
    <w:rsid w:val="00E7544C"/>
    <w:rsid w:val="00E765F7"/>
    <w:rsid w:val="00E77EF4"/>
    <w:rsid w:val="00E80323"/>
    <w:rsid w:val="00E809FF"/>
    <w:rsid w:val="00E825DE"/>
    <w:rsid w:val="00E8444F"/>
    <w:rsid w:val="00E86528"/>
    <w:rsid w:val="00E93713"/>
    <w:rsid w:val="00E9542C"/>
    <w:rsid w:val="00E95B12"/>
    <w:rsid w:val="00E95FE2"/>
    <w:rsid w:val="00E96CD7"/>
    <w:rsid w:val="00E972C9"/>
    <w:rsid w:val="00E974DF"/>
    <w:rsid w:val="00E97D65"/>
    <w:rsid w:val="00EA0A59"/>
    <w:rsid w:val="00EA3A48"/>
    <w:rsid w:val="00EA4165"/>
    <w:rsid w:val="00EA562A"/>
    <w:rsid w:val="00EA664A"/>
    <w:rsid w:val="00EA7772"/>
    <w:rsid w:val="00EB0189"/>
    <w:rsid w:val="00EB0B39"/>
    <w:rsid w:val="00EB1450"/>
    <w:rsid w:val="00EB18DA"/>
    <w:rsid w:val="00EB3F45"/>
    <w:rsid w:val="00EB4B76"/>
    <w:rsid w:val="00EB5A46"/>
    <w:rsid w:val="00EB6124"/>
    <w:rsid w:val="00EB7253"/>
    <w:rsid w:val="00EB7A6E"/>
    <w:rsid w:val="00EC02D2"/>
    <w:rsid w:val="00EC1244"/>
    <w:rsid w:val="00EC1311"/>
    <w:rsid w:val="00EC13CB"/>
    <w:rsid w:val="00EC1505"/>
    <w:rsid w:val="00EC310F"/>
    <w:rsid w:val="00EC5203"/>
    <w:rsid w:val="00EC5866"/>
    <w:rsid w:val="00EC593F"/>
    <w:rsid w:val="00EC7374"/>
    <w:rsid w:val="00EC747B"/>
    <w:rsid w:val="00EC7B9E"/>
    <w:rsid w:val="00ED0824"/>
    <w:rsid w:val="00ED1D31"/>
    <w:rsid w:val="00ED3B2A"/>
    <w:rsid w:val="00ED3BC1"/>
    <w:rsid w:val="00ED3DCC"/>
    <w:rsid w:val="00ED58BA"/>
    <w:rsid w:val="00ED648D"/>
    <w:rsid w:val="00ED6C80"/>
    <w:rsid w:val="00ED74F6"/>
    <w:rsid w:val="00EE0272"/>
    <w:rsid w:val="00EE0822"/>
    <w:rsid w:val="00EE0B09"/>
    <w:rsid w:val="00EE2782"/>
    <w:rsid w:val="00EE2F92"/>
    <w:rsid w:val="00EE32A2"/>
    <w:rsid w:val="00EE4FCC"/>
    <w:rsid w:val="00EE6A64"/>
    <w:rsid w:val="00EE6D31"/>
    <w:rsid w:val="00EE7B6B"/>
    <w:rsid w:val="00EF04A6"/>
    <w:rsid w:val="00EF22F2"/>
    <w:rsid w:val="00EF3B2B"/>
    <w:rsid w:val="00EF4F71"/>
    <w:rsid w:val="00EF604A"/>
    <w:rsid w:val="00EF6483"/>
    <w:rsid w:val="00EF66D5"/>
    <w:rsid w:val="00EF6F83"/>
    <w:rsid w:val="00EF7D61"/>
    <w:rsid w:val="00F00EE9"/>
    <w:rsid w:val="00F020A1"/>
    <w:rsid w:val="00F03960"/>
    <w:rsid w:val="00F055CF"/>
    <w:rsid w:val="00F05C09"/>
    <w:rsid w:val="00F05C81"/>
    <w:rsid w:val="00F07152"/>
    <w:rsid w:val="00F0718C"/>
    <w:rsid w:val="00F11202"/>
    <w:rsid w:val="00F1153B"/>
    <w:rsid w:val="00F119B3"/>
    <w:rsid w:val="00F13D91"/>
    <w:rsid w:val="00F13F2A"/>
    <w:rsid w:val="00F1583A"/>
    <w:rsid w:val="00F17FC5"/>
    <w:rsid w:val="00F204B6"/>
    <w:rsid w:val="00F21D64"/>
    <w:rsid w:val="00F2265F"/>
    <w:rsid w:val="00F22734"/>
    <w:rsid w:val="00F2447D"/>
    <w:rsid w:val="00F24A4B"/>
    <w:rsid w:val="00F25609"/>
    <w:rsid w:val="00F25912"/>
    <w:rsid w:val="00F259A6"/>
    <w:rsid w:val="00F25B62"/>
    <w:rsid w:val="00F30A1B"/>
    <w:rsid w:val="00F3120E"/>
    <w:rsid w:val="00F31B71"/>
    <w:rsid w:val="00F31FB0"/>
    <w:rsid w:val="00F32B57"/>
    <w:rsid w:val="00F330CC"/>
    <w:rsid w:val="00F35AA8"/>
    <w:rsid w:val="00F368F4"/>
    <w:rsid w:val="00F36B3D"/>
    <w:rsid w:val="00F36C60"/>
    <w:rsid w:val="00F41362"/>
    <w:rsid w:val="00F42031"/>
    <w:rsid w:val="00F430EB"/>
    <w:rsid w:val="00F449E9"/>
    <w:rsid w:val="00F45739"/>
    <w:rsid w:val="00F45F25"/>
    <w:rsid w:val="00F47244"/>
    <w:rsid w:val="00F47650"/>
    <w:rsid w:val="00F4769E"/>
    <w:rsid w:val="00F50550"/>
    <w:rsid w:val="00F50C46"/>
    <w:rsid w:val="00F50FE5"/>
    <w:rsid w:val="00F51016"/>
    <w:rsid w:val="00F51F59"/>
    <w:rsid w:val="00F520EE"/>
    <w:rsid w:val="00F52B4F"/>
    <w:rsid w:val="00F542A6"/>
    <w:rsid w:val="00F54961"/>
    <w:rsid w:val="00F5516A"/>
    <w:rsid w:val="00F564C4"/>
    <w:rsid w:val="00F576DC"/>
    <w:rsid w:val="00F636B0"/>
    <w:rsid w:val="00F64DD5"/>
    <w:rsid w:val="00F65155"/>
    <w:rsid w:val="00F65A56"/>
    <w:rsid w:val="00F66077"/>
    <w:rsid w:val="00F662A2"/>
    <w:rsid w:val="00F6705E"/>
    <w:rsid w:val="00F678D3"/>
    <w:rsid w:val="00F67D93"/>
    <w:rsid w:val="00F7311F"/>
    <w:rsid w:val="00F737DD"/>
    <w:rsid w:val="00F7396F"/>
    <w:rsid w:val="00F80247"/>
    <w:rsid w:val="00F826E2"/>
    <w:rsid w:val="00F8295F"/>
    <w:rsid w:val="00F83ADB"/>
    <w:rsid w:val="00F841D0"/>
    <w:rsid w:val="00F84B36"/>
    <w:rsid w:val="00F84CF5"/>
    <w:rsid w:val="00F85F85"/>
    <w:rsid w:val="00F87217"/>
    <w:rsid w:val="00F914A5"/>
    <w:rsid w:val="00F92366"/>
    <w:rsid w:val="00F93CC4"/>
    <w:rsid w:val="00F9470F"/>
    <w:rsid w:val="00F95856"/>
    <w:rsid w:val="00F95DC5"/>
    <w:rsid w:val="00F968AB"/>
    <w:rsid w:val="00F97944"/>
    <w:rsid w:val="00FA21C6"/>
    <w:rsid w:val="00FA4E83"/>
    <w:rsid w:val="00FA5F45"/>
    <w:rsid w:val="00FB063A"/>
    <w:rsid w:val="00FB0B12"/>
    <w:rsid w:val="00FB24F6"/>
    <w:rsid w:val="00FB377A"/>
    <w:rsid w:val="00FB3B1A"/>
    <w:rsid w:val="00FB7A5C"/>
    <w:rsid w:val="00FB7F6A"/>
    <w:rsid w:val="00FC00B0"/>
    <w:rsid w:val="00FC06DA"/>
    <w:rsid w:val="00FC0823"/>
    <w:rsid w:val="00FC2C59"/>
    <w:rsid w:val="00FC2D76"/>
    <w:rsid w:val="00FC3F89"/>
    <w:rsid w:val="00FC4509"/>
    <w:rsid w:val="00FC5357"/>
    <w:rsid w:val="00FC53D0"/>
    <w:rsid w:val="00FC7F0E"/>
    <w:rsid w:val="00FD0161"/>
    <w:rsid w:val="00FD178C"/>
    <w:rsid w:val="00FD3E0C"/>
    <w:rsid w:val="00FD4E4F"/>
    <w:rsid w:val="00FD5666"/>
    <w:rsid w:val="00FD6C2E"/>
    <w:rsid w:val="00FD703F"/>
    <w:rsid w:val="00FD74D3"/>
    <w:rsid w:val="00FE017E"/>
    <w:rsid w:val="00FE0DD0"/>
    <w:rsid w:val="00FE1DEC"/>
    <w:rsid w:val="00FE2972"/>
    <w:rsid w:val="00FE30DD"/>
    <w:rsid w:val="00FE4901"/>
    <w:rsid w:val="00FE4C6D"/>
    <w:rsid w:val="00FF0509"/>
    <w:rsid w:val="00FF18D4"/>
    <w:rsid w:val="00FF2474"/>
    <w:rsid w:val="00FF3046"/>
    <w:rsid w:val="00FF34D0"/>
    <w:rsid w:val="00FF4C88"/>
    <w:rsid w:val="00FF791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56D"/>
    <w:pPr>
      <w:jc w:val="both"/>
    </w:pPr>
    <w:rPr>
      <w:sz w:val="22"/>
      <w:lang w:eastAsia="en-US"/>
    </w:rPr>
  </w:style>
  <w:style w:type="paragraph" w:styleId="Heading1">
    <w:name w:val="heading 1"/>
    <w:basedOn w:val="Normal"/>
    <w:next w:val="Normal"/>
    <w:qFormat/>
    <w:rsid w:val="00B2256E"/>
    <w:pPr>
      <w:tabs>
        <w:tab w:val="left" w:pos="907"/>
      </w:tabs>
      <w:spacing w:after="480"/>
      <w:ind w:left="907" w:hanging="907"/>
      <w:jc w:val="left"/>
      <w:outlineLvl w:val="0"/>
    </w:pPr>
    <w:rPr>
      <w:rFonts w:ascii="Arial" w:hAnsi="Arial"/>
      <w:b/>
      <w:sz w:val="44"/>
    </w:rPr>
  </w:style>
  <w:style w:type="paragraph" w:styleId="Heading2">
    <w:name w:val="heading 2"/>
    <w:basedOn w:val="Normal"/>
    <w:next w:val="Normal"/>
    <w:qFormat/>
    <w:rsid w:val="00B2256E"/>
    <w:pPr>
      <w:keepNext/>
      <w:tabs>
        <w:tab w:val="left" w:pos="907"/>
      </w:tabs>
      <w:spacing w:before="360" w:after="120"/>
      <w:ind w:left="907" w:hanging="907"/>
      <w:jc w:val="left"/>
      <w:outlineLvl w:val="1"/>
    </w:pPr>
    <w:rPr>
      <w:rFonts w:ascii="Arial" w:hAnsi="Arial"/>
      <w:b/>
      <w:sz w:val="36"/>
    </w:rPr>
  </w:style>
  <w:style w:type="paragraph" w:styleId="Heading3">
    <w:name w:val="heading 3"/>
    <w:basedOn w:val="Normal"/>
    <w:next w:val="Normal"/>
    <w:qFormat/>
    <w:rsid w:val="00B2256E"/>
    <w:pPr>
      <w:keepNext/>
      <w:tabs>
        <w:tab w:val="left" w:pos="907"/>
      </w:tabs>
      <w:spacing w:before="360" w:after="120"/>
      <w:ind w:left="907" w:hanging="907"/>
      <w:jc w:val="left"/>
      <w:outlineLvl w:val="2"/>
    </w:pPr>
    <w:rPr>
      <w:rFonts w:ascii="Arial" w:hAnsi="Arial"/>
      <w:b/>
      <w:sz w:val="28"/>
    </w:rPr>
  </w:style>
  <w:style w:type="paragraph" w:styleId="Heading4">
    <w:name w:val="heading 4"/>
    <w:basedOn w:val="Normal"/>
    <w:next w:val="Normal"/>
    <w:qFormat/>
    <w:rsid w:val="00B41376"/>
    <w:pPr>
      <w:keepNext/>
      <w:spacing w:before="240" w:after="120"/>
      <w:outlineLvl w:val="3"/>
    </w:pPr>
    <w:rPr>
      <w:rFonts w:ascii="Arial" w:hAnsi="Arial"/>
      <w:b/>
      <w:sz w:val="24"/>
    </w:rPr>
  </w:style>
  <w:style w:type="paragraph" w:styleId="Heading5">
    <w:name w:val="heading 5"/>
    <w:basedOn w:val="Normal"/>
    <w:next w:val="Normal"/>
    <w:qFormat/>
    <w:rsid w:val="004C43E9"/>
    <w:pPr>
      <w:spacing w:before="240" w:after="60"/>
      <w:outlineLvl w:val="4"/>
    </w:pPr>
    <w:rPr>
      <w:rFonts w:ascii="Arial" w:hAnsi="Arial"/>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2537CD"/>
    <w:pPr>
      <w:spacing w:before="60"/>
      <w:ind w:left="397" w:hanging="397"/>
    </w:pPr>
    <w:rPr>
      <w:sz w:val="20"/>
    </w:rPr>
  </w:style>
  <w:style w:type="character" w:customStyle="1" w:styleId="TableBulletChar">
    <w:name w:val="TableBullet Char"/>
    <w:link w:val="TableBullet"/>
    <w:rsid w:val="002537CD"/>
    <w:rPr>
      <w:rFonts w:ascii="Arial" w:hAnsi="Arial" w:cs="Arial"/>
      <w:sz w:val="16"/>
      <w:szCs w:val="16"/>
      <w:lang w:val="en-NZ" w:eastAsia="en-US" w:bidi="ar-SA"/>
    </w:rPr>
  </w:style>
  <w:style w:type="paragraph" w:customStyle="1" w:styleId="TableBullet">
    <w:name w:val="TableBullet"/>
    <w:basedOn w:val="Normal"/>
    <w:link w:val="TableBulletChar"/>
    <w:rsid w:val="00A41CD8"/>
    <w:pPr>
      <w:numPr>
        <w:numId w:val="43"/>
      </w:numPr>
      <w:spacing w:after="80"/>
      <w:jc w:val="left"/>
    </w:pPr>
    <w:rPr>
      <w:rFonts w:ascii="Arial" w:hAnsi="Arial" w:cs="Arial"/>
      <w:sz w:val="16"/>
      <w:szCs w:val="16"/>
    </w:rPr>
  </w:style>
  <w:style w:type="paragraph" w:customStyle="1" w:styleId="Box">
    <w:name w:val="Box"/>
    <w:basedOn w:val="Normal"/>
    <w:rsid w:val="002537CD"/>
    <w:pPr>
      <w:pBdr>
        <w:top w:val="single" w:sz="6" w:space="15" w:color="auto"/>
        <w:left w:val="single" w:sz="6" w:space="15" w:color="auto"/>
        <w:bottom w:val="single" w:sz="6" w:space="15" w:color="auto"/>
        <w:right w:val="single" w:sz="6" w:space="15" w:color="auto"/>
      </w:pBdr>
      <w:spacing w:before="120"/>
      <w:ind w:left="284" w:right="284"/>
    </w:pPr>
    <w:rPr>
      <w:rFonts w:ascii="Arial" w:hAnsi="Arial"/>
      <w:sz w:val="20"/>
    </w:rPr>
  </w:style>
  <w:style w:type="table" w:styleId="TableGrid">
    <w:name w:val="Table Grid"/>
    <w:basedOn w:val="TableNormal"/>
    <w:semiHidden/>
    <w:rsid w:val="00A331E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semiHidden/>
    <w:rsid w:val="00772E94"/>
    <w:pPr>
      <w:jc w:val="center"/>
    </w:pPr>
    <w:rPr>
      <w:rFonts w:ascii="Arial" w:hAnsi="Arial"/>
      <w:sz w:val="16"/>
    </w:rPr>
  </w:style>
  <w:style w:type="paragraph" w:styleId="Quote">
    <w:name w:val="Quote"/>
    <w:basedOn w:val="Normal"/>
    <w:next w:val="Normal"/>
    <w:qFormat/>
    <w:rsid w:val="00092AC3"/>
    <w:pPr>
      <w:ind w:left="567" w:right="567"/>
    </w:pPr>
    <w:rPr>
      <w:sz w:val="20"/>
    </w:rPr>
  </w:style>
  <w:style w:type="paragraph" w:customStyle="1" w:styleId="BoxBullet">
    <w:name w:val="BoxBullet"/>
    <w:basedOn w:val="Box"/>
    <w:rsid w:val="00772E94"/>
    <w:pPr>
      <w:numPr>
        <w:numId w:val="2"/>
      </w:numPr>
      <w:jc w:val="left"/>
    </w:pPr>
  </w:style>
  <w:style w:type="paragraph" w:customStyle="1" w:styleId="BoxHeading">
    <w:name w:val="BoxHeading"/>
    <w:basedOn w:val="Box"/>
    <w:next w:val="Box"/>
    <w:rsid w:val="00852B36"/>
    <w:pPr>
      <w:spacing w:before="300"/>
      <w:jc w:val="left"/>
    </w:pPr>
    <w:rPr>
      <w:b/>
      <w:sz w:val="22"/>
    </w:rPr>
  </w:style>
  <w:style w:type="paragraph" w:customStyle="1" w:styleId="Bullet">
    <w:name w:val="Bullet"/>
    <w:basedOn w:val="Normal"/>
    <w:rsid w:val="00092AC3"/>
    <w:pPr>
      <w:numPr>
        <w:numId w:val="3"/>
      </w:numPr>
      <w:spacing w:before="120"/>
    </w:pPr>
  </w:style>
  <w:style w:type="paragraph" w:customStyle="1" w:styleId="Heading">
    <w:name w:val="Heading"/>
    <w:basedOn w:val="Heading1"/>
    <w:next w:val="Normal"/>
    <w:rsid w:val="000D5C95"/>
    <w:pPr>
      <w:outlineLvl w:val="9"/>
    </w:pPr>
  </w:style>
  <w:style w:type="paragraph" w:styleId="Footer">
    <w:name w:val="footer"/>
    <w:basedOn w:val="Normal"/>
    <w:rsid w:val="004D28BA"/>
    <w:pPr>
      <w:tabs>
        <w:tab w:val="center" w:pos="4153"/>
        <w:tab w:val="right" w:pos="8306"/>
      </w:tabs>
    </w:pPr>
  </w:style>
  <w:style w:type="paragraph" w:customStyle="1" w:styleId="Dash">
    <w:name w:val="Dash"/>
    <w:basedOn w:val="Normal"/>
    <w:rsid w:val="00A70AAA"/>
    <w:pPr>
      <w:numPr>
        <w:numId w:val="11"/>
      </w:numPr>
      <w:tabs>
        <w:tab w:val="clear" w:pos="397"/>
        <w:tab w:val="left" w:pos="794"/>
      </w:tabs>
      <w:spacing w:before="60"/>
      <w:ind w:left="794" w:hanging="397"/>
    </w:pPr>
  </w:style>
  <w:style w:type="paragraph" w:customStyle="1" w:styleId="Figure">
    <w:name w:val="Figure"/>
    <w:basedOn w:val="Normal"/>
    <w:next w:val="Normal"/>
    <w:rsid w:val="003C4184"/>
    <w:pPr>
      <w:keepNext/>
      <w:spacing w:after="120"/>
      <w:ind w:left="1134" w:hanging="1134"/>
      <w:jc w:val="left"/>
    </w:pPr>
    <w:rPr>
      <w:rFonts w:ascii="Arial" w:hAnsi="Arial"/>
      <w:b/>
      <w:sz w:val="20"/>
    </w:rPr>
  </w:style>
  <w:style w:type="character" w:styleId="FootnoteReference">
    <w:name w:val="footnote reference"/>
    <w:semiHidden/>
    <w:rsid w:val="00772E94"/>
    <w:rPr>
      <w:vertAlign w:val="superscript"/>
    </w:rPr>
  </w:style>
  <w:style w:type="character" w:customStyle="1" w:styleId="TableDashChar">
    <w:name w:val="TableDash Char"/>
    <w:basedOn w:val="TableBulletChar"/>
    <w:link w:val="TableDash"/>
    <w:rsid w:val="002537CD"/>
    <w:rPr>
      <w:rFonts w:ascii="Arial" w:hAnsi="Arial" w:cs="Arial"/>
      <w:sz w:val="16"/>
      <w:szCs w:val="16"/>
      <w:lang w:val="en-NZ" w:eastAsia="en-US" w:bidi="ar-SA"/>
    </w:rPr>
  </w:style>
  <w:style w:type="paragraph" w:customStyle="1" w:styleId="TableDash">
    <w:name w:val="TableDash"/>
    <w:basedOn w:val="TableBullet"/>
    <w:link w:val="TableDashChar"/>
    <w:rsid w:val="00E97D65"/>
    <w:pPr>
      <w:numPr>
        <w:numId w:val="41"/>
      </w:numPr>
      <w:spacing w:before="20" w:after="20"/>
      <w:ind w:left="568" w:hanging="284"/>
    </w:pPr>
  </w:style>
  <w:style w:type="character" w:styleId="Hyperlink">
    <w:name w:val="Hyperlink"/>
    <w:semiHidden/>
    <w:rsid w:val="00772E94"/>
    <w:rPr>
      <w:color w:val="0000FF"/>
      <w:u w:val="none"/>
    </w:rPr>
  </w:style>
  <w:style w:type="paragraph" w:customStyle="1" w:styleId="Imprint">
    <w:name w:val="Imprint"/>
    <w:basedOn w:val="Normal"/>
    <w:rsid w:val="00C016FB"/>
    <w:pPr>
      <w:jc w:val="left"/>
    </w:pPr>
    <w:rPr>
      <w:rFonts w:ascii="Arial" w:hAnsi="Arial"/>
    </w:rPr>
  </w:style>
  <w:style w:type="paragraph" w:customStyle="1" w:styleId="Note">
    <w:name w:val="Note"/>
    <w:basedOn w:val="Normal"/>
    <w:next w:val="Normal"/>
    <w:rsid w:val="00A70AAA"/>
    <w:pPr>
      <w:tabs>
        <w:tab w:val="left" w:pos="680"/>
      </w:tabs>
      <w:spacing w:before="120"/>
      <w:ind w:left="680" w:hanging="680"/>
    </w:pPr>
    <w:rPr>
      <w:rFonts w:ascii="Arial" w:hAnsi="Arial"/>
      <w:sz w:val="16"/>
    </w:rPr>
  </w:style>
  <w:style w:type="character" w:styleId="PageNumber">
    <w:name w:val="page number"/>
    <w:semiHidden/>
    <w:rsid w:val="009116D7"/>
    <w:rPr>
      <w:rFonts w:ascii="Arial" w:hAnsi="Arial"/>
      <w:b/>
      <w:sz w:val="20"/>
      <w:lang w:val="en-NZ"/>
    </w:rPr>
  </w:style>
  <w:style w:type="paragraph" w:customStyle="1" w:styleId="References">
    <w:name w:val="References"/>
    <w:basedOn w:val="Normal"/>
    <w:rsid w:val="00772E94"/>
    <w:pPr>
      <w:spacing w:after="120"/>
    </w:pPr>
    <w:rPr>
      <w:sz w:val="20"/>
    </w:rPr>
  </w:style>
  <w:style w:type="paragraph" w:customStyle="1" w:styleId="Source">
    <w:name w:val="Source"/>
    <w:basedOn w:val="Normal"/>
    <w:next w:val="Normal"/>
    <w:rsid w:val="00765A47"/>
    <w:pPr>
      <w:tabs>
        <w:tab w:val="left" w:pos="680"/>
      </w:tabs>
      <w:spacing w:before="120"/>
      <w:jc w:val="left"/>
    </w:pPr>
    <w:rPr>
      <w:rFonts w:ascii="Arial" w:hAnsi="Arial"/>
      <w:sz w:val="16"/>
    </w:rPr>
  </w:style>
  <w:style w:type="paragraph" w:styleId="Title">
    <w:name w:val="Title"/>
    <w:basedOn w:val="Normal"/>
    <w:qFormat/>
    <w:rsid w:val="00772E94"/>
    <w:pPr>
      <w:spacing w:line="360" w:lineRule="auto"/>
      <w:jc w:val="center"/>
    </w:pPr>
    <w:rPr>
      <w:rFonts w:ascii="Arial" w:hAnsi="Arial"/>
      <w:b/>
      <w:sz w:val="48"/>
    </w:rPr>
  </w:style>
  <w:style w:type="paragraph" w:styleId="Subtitle">
    <w:name w:val="Subtitle"/>
    <w:basedOn w:val="Title"/>
    <w:qFormat/>
    <w:rsid w:val="00772E94"/>
    <w:pPr>
      <w:spacing w:before="600" w:line="240" w:lineRule="auto"/>
      <w:outlineLvl w:val="1"/>
    </w:pPr>
    <w:rPr>
      <w:sz w:val="36"/>
    </w:rPr>
  </w:style>
  <w:style w:type="paragraph" w:customStyle="1" w:styleId="Table">
    <w:name w:val="Table"/>
    <w:basedOn w:val="Normal"/>
    <w:next w:val="Normal"/>
    <w:rsid w:val="00B440A7"/>
    <w:pPr>
      <w:keepNext/>
      <w:spacing w:after="120"/>
      <w:ind w:left="1134" w:hanging="1134"/>
      <w:jc w:val="left"/>
    </w:pPr>
    <w:rPr>
      <w:rFonts w:ascii="Arial" w:hAnsi="Arial"/>
      <w:b/>
      <w:sz w:val="20"/>
    </w:rPr>
  </w:style>
  <w:style w:type="paragraph" w:customStyle="1" w:styleId="TableText">
    <w:name w:val="TableText"/>
    <w:basedOn w:val="Normal"/>
    <w:rsid w:val="00E97D65"/>
    <w:pPr>
      <w:spacing w:before="60" w:after="60"/>
      <w:jc w:val="left"/>
    </w:pPr>
    <w:rPr>
      <w:rFonts w:ascii="Arial" w:hAnsi="Arial"/>
      <w:sz w:val="16"/>
    </w:rPr>
  </w:style>
  <w:style w:type="paragraph" w:styleId="TOC4">
    <w:name w:val="toc 4"/>
    <w:basedOn w:val="Normal"/>
    <w:next w:val="Normal"/>
    <w:uiPriority w:val="39"/>
    <w:rsid w:val="00CC2718"/>
    <w:pPr>
      <w:spacing w:before="80"/>
      <w:ind w:left="1134" w:right="567" w:hanging="1134"/>
      <w:jc w:val="left"/>
    </w:pPr>
    <w:rPr>
      <w:rFonts w:ascii="Arial" w:hAnsi="Arial"/>
      <w:sz w:val="20"/>
    </w:rPr>
  </w:style>
  <w:style w:type="paragraph" w:styleId="TOC1">
    <w:name w:val="toc 1"/>
    <w:basedOn w:val="Normal"/>
    <w:next w:val="Normal"/>
    <w:uiPriority w:val="39"/>
    <w:rsid w:val="00782FAE"/>
    <w:pPr>
      <w:tabs>
        <w:tab w:val="right" w:pos="8505"/>
      </w:tabs>
      <w:spacing w:before="300"/>
      <w:ind w:left="567" w:right="567" w:hanging="567"/>
      <w:jc w:val="left"/>
    </w:pPr>
    <w:rPr>
      <w:rFonts w:ascii="Arial" w:hAnsi="Arial"/>
      <w:sz w:val="28"/>
    </w:rPr>
  </w:style>
  <w:style w:type="paragraph" w:styleId="TOC2">
    <w:name w:val="toc 2"/>
    <w:basedOn w:val="Normal"/>
    <w:next w:val="Normal"/>
    <w:uiPriority w:val="39"/>
    <w:rsid w:val="00772E94"/>
    <w:pPr>
      <w:tabs>
        <w:tab w:val="right" w:pos="8505"/>
      </w:tabs>
      <w:spacing w:before="60"/>
      <w:ind w:left="1134" w:right="567" w:hanging="567"/>
      <w:jc w:val="left"/>
    </w:pPr>
    <w:rPr>
      <w:rFonts w:ascii="Arial" w:hAnsi="Arial"/>
      <w:sz w:val="20"/>
    </w:rPr>
  </w:style>
  <w:style w:type="paragraph" w:customStyle="1" w:styleId="Glossary">
    <w:name w:val="Glossary"/>
    <w:basedOn w:val="Normal"/>
    <w:rsid w:val="005600B7"/>
    <w:pPr>
      <w:tabs>
        <w:tab w:val="left" w:pos="2835"/>
      </w:tabs>
      <w:ind w:left="2835" w:hanging="2835"/>
    </w:pPr>
  </w:style>
  <w:style w:type="paragraph" w:customStyle="1" w:styleId="Footerodd">
    <w:name w:val="Footer odd"/>
    <w:basedOn w:val="Normal"/>
    <w:rsid w:val="00227394"/>
    <w:pPr>
      <w:pBdr>
        <w:top w:val="single" w:sz="4" w:space="4" w:color="auto"/>
      </w:pBdr>
      <w:tabs>
        <w:tab w:val="right" w:pos="7655"/>
        <w:tab w:val="right" w:pos="8505"/>
      </w:tabs>
      <w:jc w:val="left"/>
    </w:pPr>
    <w:rPr>
      <w:rFonts w:ascii="Arial" w:hAnsi="Arial"/>
      <w:sz w:val="16"/>
    </w:rPr>
  </w:style>
  <w:style w:type="paragraph" w:customStyle="1" w:styleId="Footereven">
    <w:name w:val="Footer even"/>
    <w:basedOn w:val="Normal"/>
    <w:rsid w:val="00D62E09"/>
    <w:pPr>
      <w:pBdr>
        <w:top w:val="single" w:sz="4" w:space="4" w:color="auto"/>
      </w:pBdr>
      <w:tabs>
        <w:tab w:val="left" w:pos="851"/>
      </w:tabs>
    </w:pPr>
    <w:rPr>
      <w:rFonts w:ascii="Arial" w:hAnsi="Arial"/>
      <w:sz w:val="16"/>
    </w:rPr>
  </w:style>
  <w:style w:type="paragraph" w:customStyle="1" w:styleId="Numberedparagraph">
    <w:name w:val="Numbered paragraph"/>
    <w:basedOn w:val="Normal"/>
    <w:rsid w:val="003E6315"/>
    <w:pPr>
      <w:numPr>
        <w:numId w:val="6"/>
      </w:numPr>
      <w:spacing w:before="120" w:after="120"/>
    </w:pPr>
  </w:style>
  <w:style w:type="paragraph" w:customStyle="1" w:styleId="Sub-lista">
    <w:name w:val="Sub-list a"/>
    <w:aliases w:val="b"/>
    <w:basedOn w:val="Normal"/>
    <w:rsid w:val="00227394"/>
    <w:pPr>
      <w:numPr>
        <w:numId w:val="15"/>
      </w:numPr>
      <w:spacing w:before="60" w:after="60"/>
    </w:pPr>
  </w:style>
  <w:style w:type="paragraph" w:styleId="TOC3">
    <w:name w:val="toc 3"/>
    <w:basedOn w:val="Normal"/>
    <w:next w:val="Normal"/>
    <w:uiPriority w:val="39"/>
    <w:rsid w:val="009C707C"/>
    <w:pPr>
      <w:ind w:left="1701" w:right="567" w:hanging="567"/>
      <w:jc w:val="left"/>
    </w:pPr>
    <w:rPr>
      <w:rFonts w:ascii="Arial" w:hAnsi="Arial"/>
      <w:sz w:val="20"/>
    </w:rPr>
  </w:style>
  <w:style w:type="paragraph" w:customStyle="1" w:styleId="Sub-listi">
    <w:name w:val="Sub-list i"/>
    <w:aliases w:val="ii"/>
    <w:basedOn w:val="Normal"/>
    <w:rsid w:val="00AD2CF0"/>
    <w:pPr>
      <w:numPr>
        <w:numId w:val="26"/>
      </w:numPr>
      <w:spacing w:before="60" w:after="60"/>
    </w:pPr>
  </w:style>
  <w:style w:type="paragraph" w:customStyle="1" w:styleId="Sub-list">
    <w:name w:val="Sub-list"/>
    <w:basedOn w:val="Normal"/>
    <w:rsid w:val="009E3385"/>
    <w:pPr>
      <w:tabs>
        <w:tab w:val="left" w:pos="794"/>
      </w:tabs>
      <w:spacing w:before="60"/>
      <w:ind w:left="794" w:hanging="397"/>
    </w:pPr>
  </w:style>
  <w:style w:type="character" w:styleId="EndnoteReference">
    <w:name w:val="endnote reference"/>
    <w:semiHidden/>
    <w:rsid w:val="00F65A56"/>
    <w:rPr>
      <w:vertAlign w:val="superscript"/>
    </w:rPr>
  </w:style>
  <w:style w:type="paragraph" w:styleId="BalloonText">
    <w:name w:val="Balloon Text"/>
    <w:basedOn w:val="Normal"/>
    <w:link w:val="BalloonTextChar"/>
    <w:uiPriority w:val="99"/>
    <w:semiHidden/>
    <w:unhideWhenUsed/>
    <w:rsid w:val="00DA754A"/>
    <w:rPr>
      <w:rFonts w:ascii="Tahoma" w:hAnsi="Tahoma"/>
      <w:sz w:val="16"/>
      <w:szCs w:val="16"/>
    </w:rPr>
  </w:style>
  <w:style w:type="character" w:customStyle="1" w:styleId="BalloonTextChar">
    <w:name w:val="Balloon Text Char"/>
    <w:link w:val="BalloonText"/>
    <w:uiPriority w:val="99"/>
    <w:semiHidden/>
    <w:rsid w:val="00DA754A"/>
    <w:rPr>
      <w:rFonts w:ascii="Tahoma" w:hAnsi="Tahoma" w:cs="Tahoma"/>
      <w:sz w:val="16"/>
      <w:szCs w:val="16"/>
      <w:lang w:eastAsia="en-US"/>
    </w:rPr>
  </w:style>
  <w:style w:type="paragraph" w:styleId="Revision">
    <w:name w:val="Revision"/>
    <w:hidden/>
    <w:uiPriority w:val="99"/>
    <w:semiHidden/>
    <w:rsid w:val="00253A40"/>
    <w:rPr>
      <w:sz w:val="22"/>
      <w:lang w:eastAsia="en-US"/>
    </w:rPr>
  </w:style>
  <w:style w:type="character" w:styleId="CommentReference">
    <w:name w:val="annotation reference"/>
    <w:uiPriority w:val="99"/>
    <w:semiHidden/>
    <w:unhideWhenUsed/>
    <w:rsid w:val="00253A40"/>
    <w:rPr>
      <w:sz w:val="16"/>
      <w:szCs w:val="16"/>
    </w:rPr>
  </w:style>
  <w:style w:type="paragraph" w:styleId="CommentText">
    <w:name w:val="annotation text"/>
    <w:basedOn w:val="Normal"/>
    <w:link w:val="CommentTextChar"/>
    <w:uiPriority w:val="99"/>
    <w:semiHidden/>
    <w:unhideWhenUsed/>
    <w:rsid w:val="00253A40"/>
    <w:rPr>
      <w:sz w:val="20"/>
    </w:rPr>
  </w:style>
  <w:style w:type="character" w:customStyle="1" w:styleId="CommentTextChar">
    <w:name w:val="Comment Text Char"/>
    <w:link w:val="CommentText"/>
    <w:uiPriority w:val="99"/>
    <w:semiHidden/>
    <w:rsid w:val="00253A40"/>
    <w:rPr>
      <w:lang w:eastAsia="en-US"/>
    </w:rPr>
  </w:style>
  <w:style w:type="paragraph" w:styleId="CommentSubject">
    <w:name w:val="annotation subject"/>
    <w:basedOn w:val="CommentText"/>
    <w:next w:val="CommentText"/>
    <w:link w:val="CommentSubjectChar"/>
    <w:uiPriority w:val="99"/>
    <w:semiHidden/>
    <w:unhideWhenUsed/>
    <w:rsid w:val="00253A40"/>
    <w:rPr>
      <w:b/>
      <w:bCs/>
    </w:rPr>
  </w:style>
  <w:style w:type="character" w:customStyle="1" w:styleId="CommentSubjectChar">
    <w:name w:val="Comment Subject Char"/>
    <w:link w:val="CommentSubject"/>
    <w:uiPriority w:val="99"/>
    <w:semiHidden/>
    <w:rsid w:val="00253A40"/>
    <w:rPr>
      <w:b/>
      <w:bCs/>
      <w:lang w:eastAsia="en-US"/>
    </w:rPr>
  </w:style>
  <w:style w:type="character" w:styleId="FollowedHyperlink">
    <w:name w:val="FollowedHyperlink"/>
    <w:uiPriority w:val="99"/>
    <w:semiHidden/>
    <w:unhideWhenUsed/>
    <w:rsid w:val="002B4D87"/>
    <w:rPr>
      <w:color w:val="800080"/>
      <w:u w:val="single"/>
    </w:rPr>
  </w:style>
  <w:style w:type="paragraph" w:styleId="NormalWeb">
    <w:name w:val="Normal (Web)"/>
    <w:basedOn w:val="Normal"/>
    <w:uiPriority w:val="99"/>
    <w:semiHidden/>
    <w:unhideWhenUsed/>
    <w:rsid w:val="009901FD"/>
    <w:pPr>
      <w:spacing w:before="100" w:beforeAutospacing="1" w:after="100" w:afterAutospacing="1"/>
      <w:jc w:val="left"/>
    </w:pPr>
    <w:rPr>
      <w:sz w:val="24"/>
      <w:szCs w:val="24"/>
      <w:lang w:eastAsia="en-N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56D"/>
    <w:pPr>
      <w:jc w:val="both"/>
    </w:pPr>
    <w:rPr>
      <w:sz w:val="22"/>
      <w:lang w:eastAsia="en-US"/>
    </w:rPr>
  </w:style>
  <w:style w:type="paragraph" w:styleId="Heading1">
    <w:name w:val="heading 1"/>
    <w:basedOn w:val="Normal"/>
    <w:next w:val="Normal"/>
    <w:qFormat/>
    <w:rsid w:val="00B2256E"/>
    <w:pPr>
      <w:tabs>
        <w:tab w:val="left" w:pos="907"/>
      </w:tabs>
      <w:spacing w:after="480"/>
      <w:ind w:left="907" w:hanging="907"/>
      <w:jc w:val="left"/>
      <w:outlineLvl w:val="0"/>
    </w:pPr>
    <w:rPr>
      <w:rFonts w:ascii="Arial" w:hAnsi="Arial"/>
      <w:b/>
      <w:sz w:val="44"/>
    </w:rPr>
  </w:style>
  <w:style w:type="paragraph" w:styleId="Heading2">
    <w:name w:val="heading 2"/>
    <w:basedOn w:val="Normal"/>
    <w:next w:val="Normal"/>
    <w:qFormat/>
    <w:rsid w:val="00B2256E"/>
    <w:pPr>
      <w:keepNext/>
      <w:tabs>
        <w:tab w:val="left" w:pos="907"/>
      </w:tabs>
      <w:spacing w:before="360" w:after="120"/>
      <w:ind w:left="907" w:hanging="907"/>
      <w:jc w:val="left"/>
      <w:outlineLvl w:val="1"/>
    </w:pPr>
    <w:rPr>
      <w:rFonts w:ascii="Arial" w:hAnsi="Arial"/>
      <w:b/>
      <w:sz w:val="36"/>
    </w:rPr>
  </w:style>
  <w:style w:type="paragraph" w:styleId="Heading3">
    <w:name w:val="heading 3"/>
    <w:basedOn w:val="Normal"/>
    <w:next w:val="Normal"/>
    <w:qFormat/>
    <w:rsid w:val="00B2256E"/>
    <w:pPr>
      <w:keepNext/>
      <w:tabs>
        <w:tab w:val="left" w:pos="907"/>
      </w:tabs>
      <w:spacing w:before="360" w:after="120"/>
      <w:ind w:left="907" w:hanging="907"/>
      <w:jc w:val="left"/>
      <w:outlineLvl w:val="2"/>
    </w:pPr>
    <w:rPr>
      <w:rFonts w:ascii="Arial" w:hAnsi="Arial"/>
      <w:b/>
      <w:sz w:val="28"/>
    </w:rPr>
  </w:style>
  <w:style w:type="paragraph" w:styleId="Heading4">
    <w:name w:val="heading 4"/>
    <w:basedOn w:val="Normal"/>
    <w:next w:val="Normal"/>
    <w:qFormat/>
    <w:rsid w:val="00B41376"/>
    <w:pPr>
      <w:keepNext/>
      <w:spacing w:before="240" w:after="120"/>
      <w:outlineLvl w:val="3"/>
    </w:pPr>
    <w:rPr>
      <w:rFonts w:ascii="Arial" w:hAnsi="Arial"/>
      <w:b/>
      <w:sz w:val="24"/>
    </w:rPr>
  </w:style>
  <w:style w:type="paragraph" w:styleId="Heading5">
    <w:name w:val="heading 5"/>
    <w:basedOn w:val="Normal"/>
    <w:next w:val="Normal"/>
    <w:qFormat/>
    <w:rsid w:val="004C43E9"/>
    <w:pPr>
      <w:spacing w:before="240" w:after="60"/>
      <w:outlineLvl w:val="4"/>
    </w:pPr>
    <w:rPr>
      <w:rFonts w:ascii="Arial" w:hAnsi="Arial"/>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2537CD"/>
    <w:pPr>
      <w:spacing w:before="60"/>
      <w:ind w:left="397" w:hanging="397"/>
    </w:pPr>
    <w:rPr>
      <w:sz w:val="20"/>
    </w:rPr>
  </w:style>
  <w:style w:type="character" w:customStyle="1" w:styleId="TableBulletChar">
    <w:name w:val="TableBullet Char"/>
    <w:link w:val="TableBullet"/>
    <w:rsid w:val="002537CD"/>
    <w:rPr>
      <w:rFonts w:ascii="Arial" w:hAnsi="Arial" w:cs="Arial"/>
      <w:sz w:val="16"/>
      <w:szCs w:val="16"/>
      <w:lang w:val="en-NZ" w:eastAsia="en-US" w:bidi="ar-SA"/>
    </w:rPr>
  </w:style>
  <w:style w:type="paragraph" w:customStyle="1" w:styleId="TableBullet">
    <w:name w:val="TableBullet"/>
    <w:basedOn w:val="Normal"/>
    <w:link w:val="TableBulletChar"/>
    <w:rsid w:val="00A41CD8"/>
    <w:pPr>
      <w:numPr>
        <w:numId w:val="43"/>
      </w:numPr>
      <w:spacing w:after="80"/>
      <w:jc w:val="left"/>
    </w:pPr>
    <w:rPr>
      <w:rFonts w:ascii="Arial" w:hAnsi="Arial" w:cs="Arial"/>
      <w:sz w:val="16"/>
      <w:szCs w:val="16"/>
    </w:rPr>
  </w:style>
  <w:style w:type="paragraph" w:customStyle="1" w:styleId="Box">
    <w:name w:val="Box"/>
    <w:basedOn w:val="Normal"/>
    <w:rsid w:val="002537CD"/>
    <w:pPr>
      <w:pBdr>
        <w:top w:val="single" w:sz="6" w:space="15" w:color="auto"/>
        <w:left w:val="single" w:sz="6" w:space="15" w:color="auto"/>
        <w:bottom w:val="single" w:sz="6" w:space="15" w:color="auto"/>
        <w:right w:val="single" w:sz="6" w:space="15" w:color="auto"/>
      </w:pBdr>
      <w:spacing w:before="120"/>
      <w:ind w:left="284" w:right="284"/>
    </w:pPr>
    <w:rPr>
      <w:rFonts w:ascii="Arial" w:hAnsi="Arial"/>
      <w:sz w:val="20"/>
    </w:rPr>
  </w:style>
  <w:style w:type="table" w:styleId="TableGrid">
    <w:name w:val="Table Grid"/>
    <w:basedOn w:val="TableNormal"/>
    <w:semiHidden/>
    <w:rsid w:val="00A331E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semiHidden/>
    <w:rsid w:val="00772E94"/>
    <w:pPr>
      <w:jc w:val="center"/>
    </w:pPr>
    <w:rPr>
      <w:rFonts w:ascii="Arial" w:hAnsi="Arial"/>
      <w:sz w:val="16"/>
    </w:rPr>
  </w:style>
  <w:style w:type="paragraph" w:styleId="Quote">
    <w:name w:val="Quote"/>
    <w:basedOn w:val="Normal"/>
    <w:next w:val="Normal"/>
    <w:qFormat/>
    <w:rsid w:val="00092AC3"/>
    <w:pPr>
      <w:ind w:left="567" w:right="567"/>
    </w:pPr>
    <w:rPr>
      <w:sz w:val="20"/>
    </w:rPr>
  </w:style>
  <w:style w:type="paragraph" w:customStyle="1" w:styleId="BoxBullet">
    <w:name w:val="BoxBullet"/>
    <w:basedOn w:val="Box"/>
    <w:rsid w:val="00772E94"/>
    <w:pPr>
      <w:numPr>
        <w:numId w:val="2"/>
      </w:numPr>
      <w:jc w:val="left"/>
    </w:pPr>
  </w:style>
  <w:style w:type="paragraph" w:customStyle="1" w:styleId="BoxHeading">
    <w:name w:val="BoxHeading"/>
    <w:basedOn w:val="Box"/>
    <w:next w:val="Box"/>
    <w:rsid w:val="00852B36"/>
    <w:pPr>
      <w:spacing w:before="300"/>
      <w:jc w:val="left"/>
    </w:pPr>
    <w:rPr>
      <w:b/>
      <w:sz w:val="22"/>
    </w:rPr>
  </w:style>
  <w:style w:type="paragraph" w:customStyle="1" w:styleId="Bullet">
    <w:name w:val="Bullet"/>
    <w:basedOn w:val="Normal"/>
    <w:rsid w:val="00092AC3"/>
    <w:pPr>
      <w:numPr>
        <w:numId w:val="3"/>
      </w:numPr>
      <w:spacing w:before="120"/>
    </w:pPr>
  </w:style>
  <w:style w:type="paragraph" w:customStyle="1" w:styleId="Heading">
    <w:name w:val="Heading"/>
    <w:basedOn w:val="Heading1"/>
    <w:next w:val="Normal"/>
    <w:rsid w:val="000D5C95"/>
    <w:pPr>
      <w:outlineLvl w:val="9"/>
    </w:pPr>
  </w:style>
  <w:style w:type="paragraph" w:styleId="Footer">
    <w:name w:val="footer"/>
    <w:basedOn w:val="Normal"/>
    <w:rsid w:val="004D28BA"/>
    <w:pPr>
      <w:tabs>
        <w:tab w:val="center" w:pos="4153"/>
        <w:tab w:val="right" w:pos="8306"/>
      </w:tabs>
    </w:pPr>
  </w:style>
  <w:style w:type="paragraph" w:customStyle="1" w:styleId="Dash">
    <w:name w:val="Dash"/>
    <w:basedOn w:val="Normal"/>
    <w:rsid w:val="00A70AAA"/>
    <w:pPr>
      <w:numPr>
        <w:numId w:val="11"/>
      </w:numPr>
      <w:tabs>
        <w:tab w:val="clear" w:pos="397"/>
        <w:tab w:val="left" w:pos="794"/>
      </w:tabs>
      <w:spacing w:before="60"/>
      <w:ind w:left="794" w:hanging="397"/>
    </w:pPr>
  </w:style>
  <w:style w:type="paragraph" w:customStyle="1" w:styleId="Figure">
    <w:name w:val="Figure"/>
    <w:basedOn w:val="Normal"/>
    <w:next w:val="Normal"/>
    <w:rsid w:val="003C4184"/>
    <w:pPr>
      <w:keepNext/>
      <w:spacing w:after="120"/>
      <w:ind w:left="1134" w:hanging="1134"/>
      <w:jc w:val="left"/>
    </w:pPr>
    <w:rPr>
      <w:rFonts w:ascii="Arial" w:hAnsi="Arial"/>
      <w:b/>
      <w:sz w:val="20"/>
    </w:rPr>
  </w:style>
  <w:style w:type="character" w:styleId="FootnoteReference">
    <w:name w:val="footnote reference"/>
    <w:semiHidden/>
    <w:rsid w:val="00772E94"/>
    <w:rPr>
      <w:vertAlign w:val="superscript"/>
    </w:rPr>
  </w:style>
  <w:style w:type="character" w:customStyle="1" w:styleId="TableDashChar">
    <w:name w:val="TableDash Char"/>
    <w:basedOn w:val="TableBulletChar"/>
    <w:link w:val="TableDash"/>
    <w:rsid w:val="002537CD"/>
    <w:rPr>
      <w:rFonts w:ascii="Arial" w:hAnsi="Arial" w:cs="Arial"/>
      <w:sz w:val="16"/>
      <w:szCs w:val="16"/>
      <w:lang w:val="en-NZ" w:eastAsia="en-US" w:bidi="ar-SA"/>
    </w:rPr>
  </w:style>
  <w:style w:type="paragraph" w:customStyle="1" w:styleId="TableDash">
    <w:name w:val="TableDash"/>
    <w:basedOn w:val="TableBullet"/>
    <w:link w:val="TableDashChar"/>
    <w:rsid w:val="00E97D65"/>
    <w:pPr>
      <w:numPr>
        <w:numId w:val="41"/>
      </w:numPr>
      <w:spacing w:before="20" w:after="20"/>
      <w:ind w:left="568" w:hanging="284"/>
    </w:pPr>
  </w:style>
  <w:style w:type="character" w:styleId="Hyperlink">
    <w:name w:val="Hyperlink"/>
    <w:semiHidden/>
    <w:rsid w:val="00772E94"/>
    <w:rPr>
      <w:color w:val="0000FF"/>
      <w:u w:val="none"/>
    </w:rPr>
  </w:style>
  <w:style w:type="paragraph" w:customStyle="1" w:styleId="Imprint">
    <w:name w:val="Imprint"/>
    <w:basedOn w:val="Normal"/>
    <w:rsid w:val="00C016FB"/>
    <w:pPr>
      <w:jc w:val="left"/>
    </w:pPr>
    <w:rPr>
      <w:rFonts w:ascii="Arial" w:hAnsi="Arial"/>
    </w:rPr>
  </w:style>
  <w:style w:type="paragraph" w:customStyle="1" w:styleId="Note">
    <w:name w:val="Note"/>
    <w:basedOn w:val="Normal"/>
    <w:next w:val="Normal"/>
    <w:rsid w:val="00A70AAA"/>
    <w:pPr>
      <w:tabs>
        <w:tab w:val="left" w:pos="680"/>
      </w:tabs>
      <w:spacing w:before="120"/>
      <w:ind w:left="680" w:hanging="680"/>
    </w:pPr>
    <w:rPr>
      <w:rFonts w:ascii="Arial" w:hAnsi="Arial"/>
      <w:sz w:val="16"/>
    </w:rPr>
  </w:style>
  <w:style w:type="character" w:styleId="PageNumber">
    <w:name w:val="page number"/>
    <w:semiHidden/>
    <w:rsid w:val="009116D7"/>
    <w:rPr>
      <w:rFonts w:ascii="Arial" w:hAnsi="Arial"/>
      <w:b/>
      <w:sz w:val="20"/>
      <w:lang w:val="en-NZ"/>
    </w:rPr>
  </w:style>
  <w:style w:type="paragraph" w:customStyle="1" w:styleId="References">
    <w:name w:val="References"/>
    <w:basedOn w:val="Normal"/>
    <w:rsid w:val="00772E94"/>
    <w:pPr>
      <w:spacing w:after="120"/>
    </w:pPr>
    <w:rPr>
      <w:sz w:val="20"/>
    </w:rPr>
  </w:style>
  <w:style w:type="paragraph" w:customStyle="1" w:styleId="Source">
    <w:name w:val="Source"/>
    <w:basedOn w:val="Normal"/>
    <w:next w:val="Normal"/>
    <w:rsid w:val="00765A47"/>
    <w:pPr>
      <w:tabs>
        <w:tab w:val="left" w:pos="680"/>
      </w:tabs>
      <w:spacing w:before="120"/>
      <w:jc w:val="left"/>
    </w:pPr>
    <w:rPr>
      <w:rFonts w:ascii="Arial" w:hAnsi="Arial"/>
      <w:sz w:val="16"/>
    </w:rPr>
  </w:style>
  <w:style w:type="paragraph" w:styleId="Title">
    <w:name w:val="Title"/>
    <w:basedOn w:val="Normal"/>
    <w:qFormat/>
    <w:rsid w:val="00772E94"/>
    <w:pPr>
      <w:spacing w:line="360" w:lineRule="auto"/>
      <w:jc w:val="center"/>
    </w:pPr>
    <w:rPr>
      <w:rFonts w:ascii="Arial" w:hAnsi="Arial"/>
      <w:b/>
      <w:sz w:val="48"/>
    </w:rPr>
  </w:style>
  <w:style w:type="paragraph" w:styleId="Subtitle">
    <w:name w:val="Subtitle"/>
    <w:basedOn w:val="Title"/>
    <w:qFormat/>
    <w:rsid w:val="00772E94"/>
    <w:pPr>
      <w:spacing w:before="600" w:line="240" w:lineRule="auto"/>
      <w:outlineLvl w:val="1"/>
    </w:pPr>
    <w:rPr>
      <w:sz w:val="36"/>
    </w:rPr>
  </w:style>
  <w:style w:type="paragraph" w:customStyle="1" w:styleId="Table">
    <w:name w:val="Table"/>
    <w:basedOn w:val="Normal"/>
    <w:next w:val="Normal"/>
    <w:rsid w:val="00B440A7"/>
    <w:pPr>
      <w:keepNext/>
      <w:spacing w:after="120"/>
      <w:ind w:left="1134" w:hanging="1134"/>
      <w:jc w:val="left"/>
    </w:pPr>
    <w:rPr>
      <w:rFonts w:ascii="Arial" w:hAnsi="Arial"/>
      <w:b/>
      <w:sz w:val="20"/>
    </w:rPr>
  </w:style>
  <w:style w:type="paragraph" w:customStyle="1" w:styleId="TableText">
    <w:name w:val="TableText"/>
    <w:basedOn w:val="Normal"/>
    <w:rsid w:val="00E97D65"/>
    <w:pPr>
      <w:spacing w:before="60" w:after="60"/>
      <w:jc w:val="left"/>
    </w:pPr>
    <w:rPr>
      <w:rFonts w:ascii="Arial" w:hAnsi="Arial"/>
      <w:sz w:val="16"/>
    </w:rPr>
  </w:style>
  <w:style w:type="paragraph" w:styleId="TOC4">
    <w:name w:val="toc 4"/>
    <w:basedOn w:val="Normal"/>
    <w:next w:val="Normal"/>
    <w:uiPriority w:val="39"/>
    <w:rsid w:val="00CC2718"/>
    <w:pPr>
      <w:spacing w:before="80"/>
      <w:ind w:left="1134" w:right="567" w:hanging="1134"/>
      <w:jc w:val="left"/>
    </w:pPr>
    <w:rPr>
      <w:rFonts w:ascii="Arial" w:hAnsi="Arial"/>
      <w:sz w:val="20"/>
    </w:rPr>
  </w:style>
  <w:style w:type="paragraph" w:styleId="TOC1">
    <w:name w:val="toc 1"/>
    <w:basedOn w:val="Normal"/>
    <w:next w:val="Normal"/>
    <w:uiPriority w:val="39"/>
    <w:rsid w:val="00782FAE"/>
    <w:pPr>
      <w:tabs>
        <w:tab w:val="right" w:pos="8505"/>
      </w:tabs>
      <w:spacing w:before="300"/>
      <w:ind w:left="567" w:right="567" w:hanging="567"/>
      <w:jc w:val="left"/>
    </w:pPr>
    <w:rPr>
      <w:rFonts w:ascii="Arial" w:hAnsi="Arial"/>
      <w:sz w:val="28"/>
    </w:rPr>
  </w:style>
  <w:style w:type="paragraph" w:styleId="TOC2">
    <w:name w:val="toc 2"/>
    <w:basedOn w:val="Normal"/>
    <w:next w:val="Normal"/>
    <w:uiPriority w:val="39"/>
    <w:rsid w:val="00772E94"/>
    <w:pPr>
      <w:tabs>
        <w:tab w:val="right" w:pos="8505"/>
      </w:tabs>
      <w:spacing w:before="60"/>
      <w:ind w:left="1134" w:right="567" w:hanging="567"/>
      <w:jc w:val="left"/>
    </w:pPr>
    <w:rPr>
      <w:rFonts w:ascii="Arial" w:hAnsi="Arial"/>
      <w:sz w:val="20"/>
    </w:rPr>
  </w:style>
  <w:style w:type="paragraph" w:customStyle="1" w:styleId="Glossary">
    <w:name w:val="Glossary"/>
    <w:basedOn w:val="Normal"/>
    <w:rsid w:val="005600B7"/>
    <w:pPr>
      <w:tabs>
        <w:tab w:val="left" w:pos="2835"/>
      </w:tabs>
      <w:ind w:left="2835" w:hanging="2835"/>
    </w:pPr>
  </w:style>
  <w:style w:type="paragraph" w:customStyle="1" w:styleId="Footerodd">
    <w:name w:val="Footer odd"/>
    <w:basedOn w:val="Normal"/>
    <w:rsid w:val="00227394"/>
    <w:pPr>
      <w:pBdr>
        <w:top w:val="single" w:sz="4" w:space="4" w:color="auto"/>
      </w:pBdr>
      <w:tabs>
        <w:tab w:val="right" w:pos="7655"/>
        <w:tab w:val="right" w:pos="8505"/>
      </w:tabs>
      <w:jc w:val="left"/>
    </w:pPr>
    <w:rPr>
      <w:rFonts w:ascii="Arial" w:hAnsi="Arial"/>
      <w:sz w:val="16"/>
    </w:rPr>
  </w:style>
  <w:style w:type="paragraph" w:customStyle="1" w:styleId="Footereven">
    <w:name w:val="Footer even"/>
    <w:basedOn w:val="Normal"/>
    <w:rsid w:val="00D62E09"/>
    <w:pPr>
      <w:pBdr>
        <w:top w:val="single" w:sz="4" w:space="4" w:color="auto"/>
      </w:pBdr>
      <w:tabs>
        <w:tab w:val="left" w:pos="851"/>
      </w:tabs>
    </w:pPr>
    <w:rPr>
      <w:rFonts w:ascii="Arial" w:hAnsi="Arial"/>
      <w:sz w:val="16"/>
    </w:rPr>
  </w:style>
  <w:style w:type="paragraph" w:customStyle="1" w:styleId="Numberedparagraph">
    <w:name w:val="Numbered paragraph"/>
    <w:basedOn w:val="Normal"/>
    <w:rsid w:val="003E6315"/>
    <w:pPr>
      <w:numPr>
        <w:numId w:val="6"/>
      </w:numPr>
      <w:spacing w:before="120" w:after="120"/>
    </w:pPr>
  </w:style>
  <w:style w:type="paragraph" w:customStyle="1" w:styleId="Sub-lista">
    <w:name w:val="Sub-list a"/>
    <w:aliases w:val="b"/>
    <w:basedOn w:val="Normal"/>
    <w:rsid w:val="00227394"/>
    <w:pPr>
      <w:numPr>
        <w:numId w:val="15"/>
      </w:numPr>
      <w:spacing w:before="60" w:after="60"/>
    </w:pPr>
  </w:style>
  <w:style w:type="paragraph" w:styleId="TOC3">
    <w:name w:val="toc 3"/>
    <w:basedOn w:val="Normal"/>
    <w:next w:val="Normal"/>
    <w:uiPriority w:val="39"/>
    <w:rsid w:val="009C707C"/>
    <w:pPr>
      <w:ind w:left="1701" w:right="567" w:hanging="567"/>
      <w:jc w:val="left"/>
    </w:pPr>
    <w:rPr>
      <w:rFonts w:ascii="Arial" w:hAnsi="Arial"/>
      <w:sz w:val="20"/>
    </w:rPr>
  </w:style>
  <w:style w:type="paragraph" w:customStyle="1" w:styleId="Sub-listi">
    <w:name w:val="Sub-list i"/>
    <w:aliases w:val="ii"/>
    <w:basedOn w:val="Normal"/>
    <w:rsid w:val="00AD2CF0"/>
    <w:pPr>
      <w:numPr>
        <w:numId w:val="26"/>
      </w:numPr>
      <w:spacing w:before="60" w:after="60"/>
    </w:pPr>
  </w:style>
  <w:style w:type="paragraph" w:customStyle="1" w:styleId="Sub-list">
    <w:name w:val="Sub-list"/>
    <w:basedOn w:val="Normal"/>
    <w:rsid w:val="009E3385"/>
    <w:pPr>
      <w:tabs>
        <w:tab w:val="left" w:pos="794"/>
      </w:tabs>
      <w:spacing w:before="60"/>
      <w:ind w:left="794" w:hanging="397"/>
    </w:pPr>
  </w:style>
  <w:style w:type="character" w:styleId="EndnoteReference">
    <w:name w:val="endnote reference"/>
    <w:semiHidden/>
    <w:rsid w:val="00F65A56"/>
    <w:rPr>
      <w:vertAlign w:val="superscript"/>
    </w:rPr>
  </w:style>
  <w:style w:type="paragraph" w:styleId="BalloonText">
    <w:name w:val="Balloon Text"/>
    <w:basedOn w:val="Normal"/>
    <w:link w:val="BalloonTextChar"/>
    <w:uiPriority w:val="99"/>
    <w:semiHidden/>
    <w:unhideWhenUsed/>
    <w:rsid w:val="00DA754A"/>
    <w:rPr>
      <w:rFonts w:ascii="Tahoma" w:hAnsi="Tahoma"/>
      <w:sz w:val="16"/>
      <w:szCs w:val="16"/>
    </w:rPr>
  </w:style>
  <w:style w:type="character" w:customStyle="1" w:styleId="BalloonTextChar">
    <w:name w:val="Balloon Text Char"/>
    <w:link w:val="BalloonText"/>
    <w:uiPriority w:val="99"/>
    <w:semiHidden/>
    <w:rsid w:val="00DA754A"/>
    <w:rPr>
      <w:rFonts w:ascii="Tahoma" w:hAnsi="Tahoma" w:cs="Tahoma"/>
      <w:sz w:val="16"/>
      <w:szCs w:val="16"/>
      <w:lang w:eastAsia="en-US"/>
    </w:rPr>
  </w:style>
  <w:style w:type="paragraph" w:styleId="Revision">
    <w:name w:val="Revision"/>
    <w:hidden/>
    <w:uiPriority w:val="99"/>
    <w:semiHidden/>
    <w:rsid w:val="00253A40"/>
    <w:rPr>
      <w:sz w:val="22"/>
      <w:lang w:eastAsia="en-US"/>
    </w:rPr>
  </w:style>
  <w:style w:type="character" w:styleId="CommentReference">
    <w:name w:val="annotation reference"/>
    <w:uiPriority w:val="99"/>
    <w:semiHidden/>
    <w:unhideWhenUsed/>
    <w:rsid w:val="00253A40"/>
    <w:rPr>
      <w:sz w:val="16"/>
      <w:szCs w:val="16"/>
    </w:rPr>
  </w:style>
  <w:style w:type="paragraph" w:styleId="CommentText">
    <w:name w:val="annotation text"/>
    <w:basedOn w:val="Normal"/>
    <w:link w:val="CommentTextChar"/>
    <w:uiPriority w:val="99"/>
    <w:semiHidden/>
    <w:unhideWhenUsed/>
    <w:rsid w:val="00253A40"/>
    <w:rPr>
      <w:sz w:val="20"/>
    </w:rPr>
  </w:style>
  <w:style w:type="character" w:customStyle="1" w:styleId="CommentTextChar">
    <w:name w:val="Comment Text Char"/>
    <w:link w:val="CommentText"/>
    <w:uiPriority w:val="99"/>
    <w:semiHidden/>
    <w:rsid w:val="00253A40"/>
    <w:rPr>
      <w:lang w:eastAsia="en-US"/>
    </w:rPr>
  </w:style>
  <w:style w:type="paragraph" w:styleId="CommentSubject">
    <w:name w:val="annotation subject"/>
    <w:basedOn w:val="CommentText"/>
    <w:next w:val="CommentText"/>
    <w:link w:val="CommentSubjectChar"/>
    <w:uiPriority w:val="99"/>
    <w:semiHidden/>
    <w:unhideWhenUsed/>
    <w:rsid w:val="00253A40"/>
    <w:rPr>
      <w:b/>
      <w:bCs/>
    </w:rPr>
  </w:style>
  <w:style w:type="character" w:customStyle="1" w:styleId="CommentSubjectChar">
    <w:name w:val="Comment Subject Char"/>
    <w:link w:val="CommentSubject"/>
    <w:uiPriority w:val="99"/>
    <w:semiHidden/>
    <w:rsid w:val="00253A40"/>
    <w:rPr>
      <w:b/>
      <w:bCs/>
      <w:lang w:eastAsia="en-US"/>
    </w:rPr>
  </w:style>
  <w:style w:type="character" w:styleId="FollowedHyperlink">
    <w:name w:val="FollowedHyperlink"/>
    <w:uiPriority w:val="99"/>
    <w:semiHidden/>
    <w:unhideWhenUsed/>
    <w:rsid w:val="002B4D87"/>
    <w:rPr>
      <w:color w:val="800080"/>
      <w:u w:val="single"/>
    </w:rPr>
  </w:style>
  <w:style w:type="paragraph" w:styleId="NormalWeb">
    <w:name w:val="Normal (Web)"/>
    <w:basedOn w:val="Normal"/>
    <w:uiPriority w:val="99"/>
    <w:semiHidden/>
    <w:unhideWhenUsed/>
    <w:rsid w:val="009901FD"/>
    <w:pPr>
      <w:spacing w:before="100" w:beforeAutospacing="1" w:after="100" w:afterAutospacing="1"/>
      <w:jc w:val="left"/>
    </w:pPr>
    <w:rPr>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8944">
      <w:bodyDiv w:val="1"/>
      <w:marLeft w:val="0"/>
      <w:marRight w:val="0"/>
      <w:marTop w:val="0"/>
      <w:marBottom w:val="0"/>
      <w:divBdr>
        <w:top w:val="none" w:sz="0" w:space="0" w:color="auto"/>
        <w:left w:val="none" w:sz="0" w:space="0" w:color="auto"/>
        <w:bottom w:val="none" w:sz="0" w:space="0" w:color="auto"/>
        <w:right w:val="none" w:sz="0" w:space="0" w:color="auto"/>
      </w:divBdr>
    </w:div>
    <w:div w:id="43723613">
      <w:bodyDiv w:val="1"/>
      <w:marLeft w:val="0"/>
      <w:marRight w:val="0"/>
      <w:marTop w:val="0"/>
      <w:marBottom w:val="0"/>
      <w:divBdr>
        <w:top w:val="none" w:sz="0" w:space="0" w:color="auto"/>
        <w:left w:val="none" w:sz="0" w:space="0" w:color="auto"/>
        <w:bottom w:val="none" w:sz="0" w:space="0" w:color="auto"/>
        <w:right w:val="none" w:sz="0" w:space="0" w:color="auto"/>
      </w:divBdr>
    </w:div>
    <w:div w:id="45029652">
      <w:bodyDiv w:val="1"/>
      <w:marLeft w:val="0"/>
      <w:marRight w:val="0"/>
      <w:marTop w:val="0"/>
      <w:marBottom w:val="0"/>
      <w:divBdr>
        <w:top w:val="none" w:sz="0" w:space="0" w:color="auto"/>
        <w:left w:val="none" w:sz="0" w:space="0" w:color="auto"/>
        <w:bottom w:val="none" w:sz="0" w:space="0" w:color="auto"/>
        <w:right w:val="none" w:sz="0" w:space="0" w:color="auto"/>
      </w:divBdr>
    </w:div>
    <w:div w:id="45834491">
      <w:bodyDiv w:val="1"/>
      <w:marLeft w:val="0"/>
      <w:marRight w:val="0"/>
      <w:marTop w:val="0"/>
      <w:marBottom w:val="0"/>
      <w:divBdr>
        <w:top w:val="none" w:sz="0" w:space="0" w:color="auto"/>
        <w:left w:val="none" w:sz="0" w:space="0" w:color="auto"/>
        <w:bottom w:val="none" w:sz="0" w:space="0" w:color="auto"/>
        <w:right w:val="none" w:sz="0" w:space="0" w:color="auto"/>
      </w:divBdr>
    </w:div>
    <w:div w:id="80640657">
      <w:bodyDiv w:val="1"/>
      <w:marLeft w:val="0"/>
      <w:marRight w:val="0"/>
      <w:marTop w:val="0"/>
      <w:marBottom w:val="0"/>
      <w:divBdr>
        <w:top w:val="none" w:sz="0" w:space="0" w:color="auto"/>
        <w:left w:val="none" w:sz="0" w:space="0" w:color="auto"/>
        <w:bottom w:val="none" w:sz="0" w:space="0" w:color="auto"/>
        <w:right w:val="none" w:sz="0" w:space="0" w:color="auto"/>
      </w:divBdr>
    </w:div>
    <w:div w:id="97332442">
      <w:bodyDiv w:val="1"/>
      <w:marLeft w:val="0"/>
      <w:marRight w:val="0"/>
      <w:marTop w:val="0"/>
      <w:marBottom w:val="0"/>
      <w:divBdr>
        <w:top w:val="none" w:sz="0" w:space="0" w:color="auto"/>
        <w:left w:val="none" w:sz="0" w:space="0" w:color="auto"/>
        <w:bottom w:val="none" w:sz="0" w:space="0" w:color="auto"/>
        <w:right w:val="none" w:sz="0" w:space="0" w:color="auto"/>
      </w:divBdr>
    </w:div>
    <w:div w:id="98841431">
      <w:bodyDiv w:val="1"/>
      <w:marLeft w:val="0"/>
      <w:marRight w:val="0"/>
      <w:marTop w:val="0"/>
      <w:marBottom w:val="0"/>
      <w:divBdr>
        <w:top w:val="none" w:sz="0" w:space="0" w:color="auto"/>
        <w:left w:val="none" w:sz="0" w:space="0" w:color="auto"/>
        <w:bottom w:val="none" w:sz="0" w:space="0" w:color="auto"/>
        <w:right w:val="none" w:sz="0" w:space="0" w:color="auto"/>
      </w:divBdr>
    </w:div>
    <w:div w:id="109280106">
      <w:bodyDiv w:val="1"/>
      <w:marLeft w:val="0"/>
      <w:marRight w:val="0"/>
      <w:marTop w:val="0"/>
      <w:marBottom w:val="0"/>
      <w:divBdr>
        <w:top w:val="none" w:sz="0" w:space="0" w:color="auto"/>
        <w:left w:val="none" w:sz="0" w:space="0" w:color="auto"/>
        <w:bottom w:val="none" w:sz="0" w:space="0" w:color="auto"/>
        <w:right w:val="none" w:sz="0" w:space="0" w:color="auto"/>
      </w:divBdr>
    </w:div>
    <w:div w:id="114493548">
      <w:bodyDiv w:val="1"/>
      <w:marLeft w:val="0"/>
      <w:marRight w:val="0"/>
      <w:marTop w:val="0"/>
      <w:marBottom w:val="0"/>
      <w:divBdr>
        <w:top w:val="none" w:sz="0" w:space="0" w:color="auto"/>
        <w:left w:val="none" w:sz="0" w:space="0" w:color="auto"/>
        <w:bottom w:val="none" w:sz="0" w:space="0" w:color="auto"/>
        <w:right w:val="none" w:sz="0" w:space="0" w:color="auto"/>
      </w:divBdr>
    </w:div>
    <w:div w:id="119155011">
      <w:bodyDiv w:val="1"/>
      <w:marLeft w:val="0"/>
      <w:marRight w:val="0"/>
      <w:marTop w:val="0"/>
      <w:marBottom w:val="0"/>
      <w:divBdr>
        <w:top w:val="none" w:sz="0" w:space="0" w:color="auto"/>
        <w:left w:val="none" w:sz="0" w:space="0" w:color="auto"/>
        <w:bottom w:val="none" w:sz="0" w:space="0" w:color="auto"/>
        <w:right w:val="none" w:sz="0" w:space="0" w:color="auto"/>
      </w:divBdr>
    </w:div>
    <w:div w:id="130172700">
      <w:bodyDiv w:val="1"/>
      <w:marLeft w:val="0"/>
      <w:marRight w:val="0"/>
      <w:marTop w:val="0"/>
      <w:marBottom w:val="0"/>
      <w:divBdr>
        <w:top w:val="none" w:sz="0" w:space="0" w:color="auto"/>
        <w:left w:val="none" w:sz="0" w:space="0" w:color="auto"/>
        <w:bottom w:val="none" w:sz="0" w:space="0" w:color="auto"/>
        <w:right w:val="none" w:sz="0" w:space="0" w:color="auto"/>
      </w:divBdr>
    </w:div>
    <w:div w:id="136604376">
      <w:bodyDiv w:val="1"/>
      <w:marLeft w:val="0"/>
      <w:marRight w:val="0"/>
      <w:marTop w:val="0"/>
      <w:marBottom w:val="0"/>
      <w:divBdr>
        <w:top w:val="none" w:sz="0" w:space="0" w:color="auto"/>
        <w:left w:val="none" w:sz="0" w:space="0" w:color="auto"/>
        <w:bottom w:val="none" w:sz="0" w:space="0" w:color="auto"/>
        <w:right w:val="none" w:sz="0" w:space="0" w:color="auto"/>
      </w:divBdr>
    </w:div>
    <w:div w:id="138351990">
      <w:bodyDiv w:val="1"/>
      <w:marLeft w:val="0"/>
      <w:marRight w:val="0"/>
      <w:marTop w:val="0"/>
      <w:marBottom w:val="0"/>
      <w:divBdr>
        <w:top w:val="none" w:sz="0" w:space="0" w:color="auto"/>
        <w:left w:val="none" w:sz="0" w:space="0" w:color="auto"/>
        <w:bottom w:val="none" w:sz="0" w:space="0" w:color="auto"/>
        <w:right w:val="none" w:sz="0" w:space="0" w:color="auto"/>
      </w:divBdr>
    </w:div>
    <w:div w:id="145823871">
      <w:bodyDiv w:val="1"/>
      <w:marLeft w:val="0"/>
      <w:marRight w:val="0"/>
      <w:marTop w:val="0"/>
      <w:marBottom w:val="0"/>
      <w:divBdr>
        <w:top w:val="none" w:sz="0" w:space="0" w:color="auto"/>
        <w:left w:val="none" w:sz="0" w:space="0" w:color="auto"/>
        <w:bottom w:val="none" w:sz="0" w:space="0" w:color="auto"/>
        <w:right w:val="none" w:sz="0" w:space="0" w:color="auto"/>
      </w:divBdr>
    </w:div>
    <w:div w:id="149760526">
      <w:bodyDiv w:val="1"/>
      <w:marLeft w:val="0"/>
      <w:marRight w:val="0"/>
      <w:marTop w:val="0"/>
      <w:marBottom w:val="0"/>
      <w:divBdr>
        <w:top w:val="none" w:sz="0" w:space="0" w:color="auto"/>
        <w:left w:val="none" w:sz="0" w:space="0" w:color="auto"/>
        <w:bottom w:val="none" w:sz="0" w:space="0" w:color="auto"/>
        <w:right w:val="none" w:sz="0" w:space="0" w:color="auto"/>
      </w:divBdr>
    </w:div>
    <w:div w:id="164322596">
      <w:bodyDiv w:val="1"/>
      <w:marLeft w:val="0"/>
      <w:marRight w:val="0"/>
      <w:marTop w:val="0"/>
      <w:marBottom w:val="0"/>
      <w:divBdr>
        <w:top w:val="none" w:sz="0" w:space="0" w:color="auto"/>
        <w:left w:val="none" w:sz="0" w:space="0" w:color="auto"/>
        <w:bottom w:val="none" w:sz="0" w:space="0" w:color="auto"/>
        <w:right w:val="none" w:sz="0" w:space="0" w:color="auto"/>
      </w:divBdr>
    </w:div>
    <w:div w:id="165753036">
      <w:bodyDiv w:val="1"/>
      <w:marLeft w:val="0"/>
      <w:marRight w:val="0"/>
      <w:marTop w:val="0"/>
      <w:marBottom w:val="0"/>
      <w:divBdr>
        <w:top w:val="none" w:sz="0" w:space="0" w:color="auto"/>
        <w:left w:val="none" w:sz="0" w:space="0" w:color="auto"/>
        <w:bottom w:val="none" w:sz="0" w:space="0" w:color="auto"/>
        <w:right w:val="none" w:sz="0" w:space="0" w:color="auto"/>
      </w:divBdr>
    </w:div>
    <w:div w:id="176888483">
      <w:bodyDiv w:val="1"/>
      <w:marLeft w:val="0"/>
      <w:marRight w:val="0"/>
      <w:marTop w:val="0"/>
      <w:marBottom w:val="0"/>
      <w:divBdr>
        <w:top w:val="none" w:sz="0" w:space="0" w:color="auto"/>
        <w:left w:val="none" w:sz="0" w:space="0" w:color="auto"/>
        <w:bottom w:val="none" w:sz="0" w:space="0" w:color="auto"/>
        <w:right w:val="none" w:sz="0" w:space="0" w:color="auto"/>
      </w:divBdr>
    </w:div>
    <w:div w:id="177623173">
      <w:bodyDiv w:val="1"/>
      <w:marLeft w:val="0"/>
      <w:marRight w:val="0"/>
      <w:marTop w:val="0"/>
      <w:marBottom w:val="0"/>
      <w:divBdr>
        <w:top w:val="none" w:sz="0" w:space="0" w:color="auto"/>
        <w:left w:val="none" w:sz="0" w:space="0" w:color="auto"/>
        <w:bottom w:val="none" w:sz="0" w:space="0" w:color="auto"/>
        <w:right w:val="none" w:sz="0" w:space="0" w:color="auto"/>
      </w:divBdr>
    </w:div>
    <w:div w:id="180363413">
      <w:bodyDiv w:val="1"/>
      <w:marLeft w:val="0"/>
      <w:marRight w:val="0"/>
      <w:marTop w:val="0"/>
      <w:marBottom w:val="0"/>
      <w:divBdr>
        <w:top w:val="none" w:sz="0" w:space="0" w:color="auto"/>
        <w:left w:val="none" w:sz="0" w:space="0" w:color="auto"/>
        <w:bottom w:val="none" w:sz="0" w:space="0" w:color="auto"/>
        <w:right w:val="none" w:sz="0" w:space="0" w:color="auto"/>
      </w:divBdr>
    </w:div>
    <w:div w:id="180971990">
      <w:bodyDiv w:val="1"/>
      <w:marLeft w:val="0"/>
      <w:marRight w:val="0"/>
      <w:marTop w:val="0"/>
      <w:marBottom w:val="0"/>
      <w:divBdr>
        <w:top w:val="none" w:sz="0" w:space="0" w:color="auto"/>
        <w:left w:val="none" w:sz="0" w:space="0" w:color="auto"/>
        <w:bottom w:val="none" w:sz="0" w:space="0" w:color="auto"/>
        <w:right w:val="none" w:sz="0" w:space="0" w:color="auto"/>
      </w:divBdr>
    </w:div>
    <w:div w:id="200900150">
      <w:bodyDiv w:val="1"/>
      <w:marLeft w:val="0"/>
      <w:marRight w:val="0"/>
      <w:marTop w:val="0"/>
      <w:marBottom w:val="0"/>
      <w:divBdr>
        <w:top w:val="none" w:sz="0" w:space="0" w:color="auto"/>
        <w:left w:val="none" w:sz="0" w:space="0" w:color="auto"/>
        <w:bottom w:val="none" w:sz="0" w:space="0" w:color="auto"/>
        <w:right w:val="none" w:sz="0" w:space="0" w:color="auto"/>
      </w:divBdr>
    </w:div>
    <w:div w:id="212695154">
      <w:bodyDiv w:val="1"/>
      <w:marLeft w:val="0"/>
      <w:marRight w:val="0"/>
      <w:marTop w:val="0"/>
      <w:marBottom w:val="0"/>
      <w:divBdr>
        <w:top w:val="none" w:sz="0" w:space="0" w:color="auto"/>
        <w:left w:val="none" w:sz="0" w:space="0" w:color="auto"/>
        <w:bottom w:val="none" w:sz="0" w:space="0" w:color="auto"/>
        <w:right w:val="none" w:sz="0" w:space="0" w:color="auto"/>
      </w:divBdr>
    </w:div>
    <w:div w:id="217135081">
      <w:bodyDiv w:val="1"/>
      <w:marLeft w:val="0"/>
      <w:marRight w:val="0"/>
      <w:marTop w:val="0"/>
      <w:marBottom w:val="0"/>
      <w:divBdr>
        <w:top w:val="none" w:sz="0" w:space="0" w:color="auto"/>
        <w:left w:val="none" w:sz="0" w:space="0" w:color="auto"/>
        <w:bottom w:val="none" w:sz="0" w:space="0" w:color="auto"/>
        <w:right w:val="none" w:sz="0" w:space="0" w:color="auto"/>
      </w:divBdr>
    </w:div>
    <w:div w:id="228156492">
      <w:bodyDiv w:val="1"/>
      <w:marLeft w:val="0"/>
      <w:marRight w:val="0"/>
      <w:marTop w:val="0"/>
      <w:marBottom w:val="0"/>
      <w:divBdr>
        <w:top w:val="none" w:sz="0" w:space="0" w:color="auto"/>
        <w:left w:val="none" w:sz="0" w:space="0" w:color="auto"/>
        <w:bottom w:val="none" w:sz="0" w:space="0" w:color="auto"/>
        <w:right w:val="none" w:sz="0" w:space="0" w:color="auto"/>
      </w:divBdr>
    </w:div>
    <w:div w:id="245846048">
      <w:bodyDiv w:val="1"/>
      <w:marLeft w:val="0"/>
      <w:marRight w:val="0"/>
      <w:marTop w:val="0"/>
      <w:marBottom w:val="0"/>
      <w:divBdr>
        <w:top w:val="none" w:sz="0" w:space="0" w:color="auto"/>
        <w:left w:val="none" w:sz="0" w:space="0" w:color="auto"/>
        <w:bottom w:val="none" w:sz="0" w:space="0" w:color="auto"/>
        <w:right w:val="none" w:sz="0" w:space="0" w:color="auto"/>
      </w:divBdr>
    </w:div>
    <w:div w:id="260726878">
      <w:bodyDiv w:val="1"/>
      <w:marLeft w:val="0"/>
      <w:marRight w:val="0"/>
      <w:marTop w:val="0"/>
      <w:marBottom w:val="0"/>
      <w:divBdr>
        <w:top w:val="none" w:sz="0" w:space="0" w:color="auto"/>
        <w:left w:val="none" w:sz="0" w:space="0" w:color="auto"/>
        <w:bottom w:val="none" w:sz="0" w:space="0" w:color="auto"/>
        <w:right w:val="none" w:sz="0" w:space="0" w:color="auto"/>
      </w:divBdr>
    </w:div>
    <w:div w:id="264073948">
      <w:bodyDiv w:val="1"/>
      <w:marLeft w:val="0"/>
      <w:marRight w:val="0"/>
      <w:marTop w:val="0"/>
      <w:marBottom w:val="0"/>
      <w:divBdr>
        <w:top w:val="none" w:sz="0" w:space="0" w:color="auto"/>
        <w:left w:val="none" w:sz="0" w:space="0" w:color="auto"/>
        <w:bottom w:val="none" w:sz="0" w:space="0" w:color="auto"/>
        <w:right w:val="none" w:sz="0" w:space="0" w:color="auto"/>
      </w:divBdr>
    </w:div>
    <w:div w:id="265701422">
      <w:bodyDiv w:val="1"/>
      <w:marLeft w:val="0"/>
      <w:marRight w:val="0"/>
      <w:marTop w:val="0"/>
      <w:marBottom w:val="0"/>
      <w:divBdr>
        <w:top w:val="none" w:sz="0" w:space="0" w:color="auto"/>
        <w:left w:val="none" w:sz="0" w:space="0" w:color="auto"/>
        <w:bottom w:val="none" w:sz="0" w:space="0" w:color="auto"/>
        <w:right w:val="none" w:sz="0" w:space="0" w:color="auto"/>
      </w:divBdr>
    </w:div>
    <w:div w:id="272174589">
      <w:bodyDiv w:val="1"/>
      <w:marLeft w:val="0"/>
      <w:marRight w:val="0"/>
      <w:marTop w:val="0"/>
      <w:marBottom w:val="0"/>
      <w:divBdr>
        <w:top w:val="none" w:sz="0" w:space="0" w:color="auto"/>
        <w:left w:val="none" w:sz="0" w:space="0" w:color="auto"/>
        <w:bottom w:val="none" w:sz="0" w:space="0" w:color="auto"/>
        <w:right w:val="none" w:sz="0" w:space="0" w:color="auto"/>
      </w:divBdr>
    </w:div>
    <w:div w:id="289485097">
      <w:bodyDiv w:val="1"/>
      <w:marLeft w:val="0"/>
      <w:marRight w:val="0"/>
      <w:marTop w:val="0"/>
      <w:marBottom w:val="0"/>
      <w:divBdr>
        <w:top w:val="none" w:sz="0" w:space="0" w:color="auto"/>
        <w:left w:val="none" w:sz="0" w:space="0" w:color="auto"/>
        <w:bottom w:val="none" w:sz="0" w:space="0" w:color="auto"/>
        <w:right w:val="none" w:sz="0" w:space="0" w:color="auto"/>
      </w:divBdr>
    </w:div>
    <w:div w:id="290064221">
      <w:bodyDiv w:val="1"/>
      <w:marLeft w:val="0"/>
      <w:marRight w:val="0"/>
      <w:marTop w:val="0"/>
      <w:marBottom w:val="0"/>
      <w:divBdr>
        <w:top w:val="none" w:sz="0" w:space="0" w:color="auto"/>
        <w:left w:val="none" w:sz="0" w:space="0" w:color="auto"/>
        <w:bottom w:val="none" w:sz="0" w:space="0" w:color="auto"/>
        <w:right w:val="none" w:sz="0" w:space="0" w:color="auto"/>
      </w:divBdr>
    </w:div>
    <w:div w:id="297687818">
      <w:bodyDiv w:val="1"/>
      <w:marLeft w:val="0"/>
      <w:marRight w:val="0"/>
      <w:marTop w:val="0"/>
      <w:marBottom w:val="0"/>
      <w:divBdr>
        <w:top w:val="none" w:sz="0" w:space="0" w:color="auto"/>
        <w:left w:val="none" w:sz="0" w:space="0" w:color="auto"/>
        <w:bottom w:val="none" w:sz="0" w:space="0" w:color="auto"/>
        <w:right w:val="none" w:sz="0" w:space="0" w:color="auto"/>
      </w:divBdr>
    </w:div>
    <w:div w:id="298918806">
      <w:bodyDiv w:val="1"/>
      <w:marLeft w:val="0"/>
      <w:marRight w:val="0"/>
      <w:marTop w:val="0"/>
      <w:marBottom w:val="0"/>
      <w:divBdr>
        <w:top w:val="none" w:sz="0" w:space="0" w:color="auto"/>
        <w:left w:val="none" w:sz="0" w:space="0" w:color="auto"/>
        <w:bottom w:val="none" w:sz="0" w:space="0" w:color="auto"/>
        <w:right w:val="none" w:sz="0" w:space="0" w:color="auto"/>
      </w:divBdr>
    </w:div>
    <w:div w:id="300039297">
      <w:bodyDiv w:val="1"/>
      <w:marLeft w:val="0"/>
      <w:marRight w:val="0"/>
      <w:marTop w:val="0"/>
      <w:marBottom w:val="0"/>
      <w:divBdr>
        <w:top w:val="none" w:sz="0" w:space="0" w:color="auto"/>
        <w:left w:val="none" w:sz="0" w:space="0" w:color="auto"/>
        <w:bottom w:val="none" w:sz="0" w:space="0" w:color="auto"/>
        <w:right w:val="none" w:sz="0" w:space="0" w:color="auto"/>
      </w:divBdr>
    </w:div>
    <w:div w:id="300768406">
      <w:bodyDiv w:val="1"/>
      <w:marLeft w:val="0"/>
      <w:marRight w:val="0"/>
      <w:marTop w:val="0"/>
      <w:marBottom w:val="0"/>
      <w:divBdr>
        <w:top w:val="none" w:sz="0" w:space="0" w:color="auto"/>
        <w:left w:val="none" w:sz="0" w:space="0" w:color="auto"/>
        <w:bottom w:val="none" w:sz="0" w:space="0" w:color="auto"/>
        <w:right w:val="none" w:sz="0" w:space="0" w:color="auto"/>
      </w:divBdr>
    </w:div>
    <w:div w:id="308364091">
      <w:bodyDiv w:val="1"/>
      <w:marLeft w:val="0"/>
      <w:marRight w:val="0"/>
      <w:marTop w:val="0"/>
      <w:marBottom w:val="0"/>
      <w:divBdr>
        <w:top w:val="none" w:sz="0" w:space="0" w:color="auto"/>
        <w:left w:val="none" w:sz="0" w:space="0" w:color="auto"/>
        <w:bottom w:val="none" w:sz="0" w:space="0" w:color="auto"/>
        <w:right w:val="none" w:sz="0" w:space="0" w:color="auto"/>
      </w:divBdr>
    </w:div>
    <w:div w:id="310452446">
      <w:bodyDiv w:val="1"/>
      <w:marLeft w:val="0"/>
      <w:marRight w:val="0"/>
      <w:marTop w:val="0"/>
      <w:marBottom w:val="0"/>
      <w:divBdr>
        <w:top w:val="none" w:sz="0" w:space="0" w:color="auto"/>
        <w:left w:val="none" w:sz="0" w:space="0" w:color="auto"/>
        <w:bottom w:val="none" w:sz="0" w:space="0" w:color="auto"/>
        <w:right w:val="none" w:sz="0" w:space="0" w:color="auto"/>
      </w:divBdr>
    </w:div>
    <w:div w:id="317539880">
      <w:bodyDiv w:val="1"/>
      <w:marLeft w:val="0"/>
      <w:marRight w:val="0"/>
      <w:marTop w:val="0"/>
      <w:marBottom w:val="0"/>
      <w:divBdr>
        <w:top w:val="none" w:sz="0" w:space="0" w:color="auto"/>
        <w:left w:val="none" w:sz="0" w:space="0" w:color="auto"/>
        <w:bottom w:val="none" w:sz="0" w:space="0" w:color="auto"/>
        <w:right w:val="none" w:sz="0" w:space="0" w:color="auto"/>
      </w:divBdr>
    </w:div>
    <w:div w:id="370568801">
      <w:bodyDiv w:val="1"/>
      <w:marLeft w:val="0"/>
      <w:marRight w:val="0"/>
      <w:marTop w:val="0"/>
      <w:marBottom w:val="0"/>
      <w:divBdr>
        <w:top w:val="none" w:sz="0" w:space="0" w:color="auto"/>
        <w:left w:val="none" w:sz="0" w:space="0" w:color="auto"/>
        <w:bottom w:val="none" w:sz="0" w:space="0" w:color="auto"/>
        <w:right w:val="none" w:sz="0" w:space="0" w:color="auto"/>
      </w:divBdr>
    </w:div>
    <w:div w:id="382755227">
      <w:bodyDiv w:val="1"/>
      <w:marLeft w:val="0"/>
      <w:marRight w:val="0"/>
      <w:marTop w:val="0"/>
      <w:marBottom w:val="0"/>
      <w:divBdr>
        <w:top w:val="none" w:sz="0" w:space="0" w:color="auto"/>
        <w:left w:val="none" w:sz="0" w:space="0" w:color="auto"/>
        <w:bottom w:val="none" w:sz="0" w:space="0" w:color="auto"/>
        <w:right w:val="none" w:sz="0" w:space="0" w:color="auto"/>
      </w:divBdr>
    </w:div>
    <w:div w:id="393116977">
      <w:bodyDiv w:val="1"/>
      <w:marLeft w:val="0"/>
      <w:marRight w:val="0"/>
      <w:marTop w:val="0"/>
      <w:marBottom w:val="0"/>
      <w:divBdr>
        <w:top w:val="none" w:sz="0" w:space="0" w:color="auto"/>
        <w:left w:val="none" w:sz="0" w:space="0" w:color="auto"/>
        <w:bottom w:val="none" w:sz="0" w:space="0" w:color="auto"/>
        <w:right w:val="none" w:sz="0" w:space="0" w:color="auto"/>
      </w:divBdr>
    </w:div>
    <w:div w:id="393696982">
      <w:bodyDiv w:val="1"/>
      <w:marLeft w:val="0"/>
      <w:marRight w:val="0"/>
      <w:marTop w:val="0"/>
      <w:marBottom w:val="0"/>
      <w:divBdr>
        <w:top w:val="none" w:sz="0" w:space="0" w:color="auto"/>
        <w:left w:val="none" w:sz="0" w:space="0" w:color="auto"/>
        <w:bottom w:val="none" w:sz="0" w:space="0" w:color="auto"/>
        <w:right w:val="none" w:sz="0" w:space="0" w:color="auto"/>
      </w:divBdr>
    </w:div>
    <w:div w:id="410465113">
      <w:bodyDiv w:val="1"/>
      <w:marLeft w:val="0"/>
      <w:marRight w:val="0"/>
      <w:marTop w:val="0"/>
      <w:marBottom w:val="0"/>
      <w:divBdr>
        <w:top w:val="none" w:sz="0" w:space="0" w:color="auto"/>
        <w:left w:val="none" w:sz="0" w:space="0" w:color="auto"/>
        <w:bottom w:val="none" w:sz="0" w:space="0" w:color="auto"/>
        <w:right w:val="none" w:sz="0" w:space="0" w:color="auto"/>
      </w:divBdr>
    </w:div>
    <w:div w:id="416905824">
      <w:bodyDiv w:val="1"/>
      <w:marLeft w:val="0"/>
      <w:marRight w:val="0"/>
      <w:marTop w:val="0"/>
      <w:marBottom w:val="0"/>
      <w:divBdr>
        <w:top w:val="none" w:sz="0" w:space="0" w:color="auto"/>
        <w:left w:val="none" w:sz="0" w:space="0" w:color="auto"/>
        <w:bottom w:val="none" w:sz="0" w:space="0" w:color="auto"/>
        <w:right w:val="none" w:sz="0" w:space="0" w:color="auto"/>
      </w:divBdr>
    </w:div>
    <w:div w:id="427654355">
      <w:bodyDiv w:val="1"/>
      <w:marLeft w:val="0"/>
      <w:marRight w:val="0"/>
      <w:marTop w:val="0"/>
      <w:marBottom w:val="0"/>
      <w:divBdr>
        <w:top w:val="none" w:sz="0" w:space="0" w:color="auto"/>
        <w:left w:val="none" w:sz="0" w:space="0" w:color="auto"/>
        <w:bottom w:val="none" w:sz="0" w:space="0" w:color="auto"/>
        <w:right w:val="none" w:sz="0" w:space="0" w:color="auto"/>
      </w:divBdr>
    </w:div>
    <w:div w:id="428426605">
      <w:bodyDiv w:val="1"/>
      <w:marLeft w:val="0"/>
      <w:marRight w:val="0"/>
      <w:marTop w:val="0"/>
      <w:marBottom w:val="0"/>
      <w:divBdr>
        <w:top w:val="none" w:sz="0" w:space="0" w:color="auto"/>
        <w:left w:val="none" w:sz="0" w:space="0" w:color="auto"/>
        <w:bottom w:val="none" w:sz="0" w:space="0" w:color="auto"/>
        <w:right w:val="none" w:sz="0" w:space="0" w:color="auto"/>
      </w:divBdr>
    </w:div>
    <w:div w:id="445930279">
      <w:bodyDiv w:val="1"/>
      <w:marLeft w:val="0"/>
      <w:marRight w:val="0"/>
      <w:marTop w:val="0"/>
      <w:marBottom w:val="0"/>
      <w:divBdr>
        <w:top w:val="none" w:sz="0" w:space="0" w:color="auto"/>
        <w:left w:val="none" w:sz="0" w:space="0" w:color="auto"/>
        <w:bottom w:val="none" w:sz="0" w:space="0" w:color="auto"/>
        <w:right w:val="none" w:sz="0" w:space="0" w:color="auto"/>
      </w:divBdr>
    </w:div>
    <w:div w:id="450445199">
      <w:bodyDiv w:val="1"/>
      <w:marLeft w:val="0"/>
      <w:marRight w:val="0"/>
      <w:marTop w:val="0"/>
      <w:marBottom w:val="0"/>
      <w:divBdr>
        <w:top w:val="none" w:sz="0" w:space="0" w:color="auto"/>
        <w:left w:val="none" w:sz="0" w:space="0" w:color="auto"/>
        <w:bottom w:val="none" w:sz="0" w:space="0" w:color="auto"/>
        <w:right w:val="none" w:sz="0" w:space="0" w:color="auto"/>
      </w:divBdr>
    </w:div>
    <w:div w:id="455371184">
      <w:bodyDiv w:val="1"/>
      <w:marLeft w:val="0"/>
      <w:marRight w:val="0"/>
      <w:marTop w:val="0"/>
      <w:marBottom w:val="0"/>
      <w:divBdr>
        <w:top w:val="none" w:sz="0" w:space="0" w:color="auto"/>
        <w:left w:val="none" w:sz="0" w:space="0" w:color="auto"/>
        <w:bottom w:val="none" w:sz="0" w:space="0" w:color="auto"/>
        <w:right w:val="none" w:sz="0" w:space="0" w:color="auto"/>
      </w:divBdr>
    </w:div>
    <w:div w:id="486022805">
      <w:bodyDiv w:val="1"/>
      <w:marLeft w:val="0"/>
      <w:marRight w:val="0"/>
      <w:marTop w:val="0"/>
      <w:marBottom w:val="0"/>
      <w:divBdr>
        <w:top w:val="none" w:sz="0" w:space="0" w:color="auto"/>
        <w:left w:val="none" w:sz="0" w:space="0" w:color="auto"/>
        <w:bottom w:val="none" w:sz="0" w:space="0" w:color="auto"/>
        <w:right w:val="none" w:sz="0" w:space="0" w:color="auto"/>
      </w:divBdr>
    </w:div>
    <w:div w:id="492261276">
      <w:bodyDiv w:val="1"/>
      <w:marLeft w:val="0"/>
      <w:marRight w:val="0"/>
      <w:marTop w:val="0"/>
      <w:marBottom w:val="0"/>
      <w:divBdr>
        <w:top w:val="none" w:sz="0" w:space="0" w:color="auto"/>
        <w:left w:val="none" w:sz="0" w:space="0" w:color="auto"/>
        <w:bottom w:val="none" w:sz="0" w:space="0" w:color="auto"/>
        <w:right w:val="none" w:sz="0" w:space="0" w:color="auto"/>
      </w:divBdr>
    </w:div>
    <w:div w:id="492841306">
      <w:bodyDiv w:val="1"/>
      <w:marLeft w:val="0"/>
      <w:marRight w:val="0"/>
      <w:marTop w:val="0"/>
      <w:marBottom w:val="0"/>
      <w:divBdr>
        <w:top w:val="none" w:sz="0" w:space="0" w:color="auto"/>
        <w:left w:val="none" w:sz="0" w:space="0" w:color="auto"/>
        <w:bottom w:val="none" w:sz="0" w:space="0" w:color="auto"/>
        <w:right w:val="none" w:sz="0" w:space="0" w:color="auto"/>
      </w:divBdr>
    </w:div>
    <w:div w:id="498737895">
      <w:bodyDiv w:val="1"/>
      <w:marLeft w:val="0"/>
      <w:marRight w:val="0"/>
      <w:marTop w:val="0"/>
      <w:marBottom w:val="0"/>
      <w:divBdr>
        <w:top w:val="none" w:sz="0" w:space="0" w:color="auto"/>
        <w:left w:val="none" w:sz="0" w:space="0" w:color="auto"/>
        <w:bottom w:val="none" w:sz="0" w:space="0" w:color="auto"/>
        <w:right w:val="none" w:sz="0" w:space="0" w:color="auto"/>
      </w:divBdr>
    </w:div>
    <w:div w:id="509026230">
      <w:bodyDiv w:val="1"/>
      <w:marLeft w:val="0"/>
      <w:marRight w:val="0"/>
      <w:marTop w:val="0"/>
      <w:marBottom w:val="0"/>
      <w:divBdr>
        <w:top w:val="none" w:sz="0" w:space="0" w:color="auto"/>
        <w:left w:val="none" w:sz="0" w:space="0" w:color="auto"/>
        <w:bottom w:val="none" w:sz="0" w:space="0" w:color="auto"/>
        <w:right w:val="none" w:sz="0" w:space="0" w:color="auto"/>
      </w:divBdr>
    </w:div>
    <w:div w:id="516578513">
      <w:bodyDiv w:val="1"/>
      <w:marLeft w:val="0"/>
      <w:marRight w:val="0"/>
      <w:marTop w:val="0"/>
      <w:marBottom w:val="0"/>
      <w:divBdr>
        <w:top w:val="none" w:sz="0" w:space="0" w:color="auto"/>
        <w:left w:val="none" w:sz="0" w:space="0" w:color="auto"/>
        <w:bottom w:val="none" w:sz="0" w:space="0" w:color="auto"/>
        <w:right w:val="none" w:sz="0" w:space="0" w:color="auto"/>
      </w:divBdr>
    </w:div>
    <w:div w:id="543521706">
      <w:bodyDiv w:val="1"/>
      <w:marLeft w:val="0"/>
      <w:marRight w:val="0"/>
      <w:marTop w:val="0"/>
      <w:marBottom w:val="0"/>
      <w:divBdr>
        <w:top w:val="none" w:sz="0" w:space="0" w:color="auto"/>
        <w:left w:val="none" w:sz="0" w:space="0" w:color="auto"/>
        <w:bottom w:val="none" w:sz="0" w:space="0" w:color="auto"/>
        <w:right w:val="none" w:sz="0" w:space="0" w:color="auto"/>
      </w:divBdr>
    </w:div>
    <w:div w:id="549154056">
      <w:bodyDiv w:val="1"/>
      <w:marLeft w:val="0"/>
      <w:marRight w:val="0"/>
      <w:marTop w:val="0"/>
      <w:marBottom w:val="0"/>
      <w:divBdr>
        <w:top w:val="none" w:sz="0" w:space="0" w:color="auto"/>
        <w:left w:val="none" w:sz="0" w:space="0" w:color="auto"/>
        <w:bottom w:val="none" w:sz="0" w:space="0" w:color="auto"/>
        <w:right w:val="none" w:sz="0" w:space="0" w:color="auto"/>
      </w:divBdr>
    </w:div>
    <w:div w:id="564343517">
      <w:bodyDiv w:val="1"/>
      <w:marLeft w:val="0"/>
      <w:marRight w:val="0"/>
      <w:marTop w:val="0"/>
      <w:marBottom w:val="0"/>
      <w:divBdr>
        <w:top w:val="none" w:sz="0" w:space="0" w:color="auto"/>
        <w:left w:val="none" w:sz="0" w:space="0" w:color="auto"/>
        <w:bottom w:val="none" w:sz="0" w:space="0" w:color="auto"/>
        <w:right w:val="none" w:sz="0" w:space="0" w:color="auto"/>
      </w:divBdr>
    </w:div>
    <w:div w:id="573859105">
      <w:bodyDiv w:val="1"/>
      <w:marLeft w:val="0"/>
      <w:marRight w:val="0"/>
      <w:marTop w:val="0"/>
      <w:marBottom w:val="0"/>
      <w:divBdr>
        <w:top w:val="none" w:sz="0" w:space="0" w:color="auto"/>
        <w:left w:val="none" w:sz="0" w:space="0" w:color="auto"/>
        <w:bottom w:val="none" w:sz="0" w:space="0" w:color="auto"/>
        <w:right w:val="none" w:sz="0" w:space="0" w:color="auto"/>
      </w:divBdr>
    </w:div>
    <w:div w:id="590511668">
      <w:bodyDiv w:val="1"/>
      <w:marLeft w:val="0"/>
      <w:marRight w:val="0"/>
      <w:marTop w:val="0"/>
      <w:marBottom w:val="0"/>
      <w:divBdr>
        <w:top w:val="none" w:sz="0" w:space="0" w:color="auto"/>
        <w:left w:val="none" w:sz="0" w:space="0" w:color="auto"/>
        <w:bottom w:val="none" w:sz="0" w:space="0" w:color="auto"/>
        <w:right w:val="none" w:sz="0" w:space="0" w:color="auto"/>
      </w:divBdr>
    </w:div>
    <w:div w:id="615016776">
      <w:bodyDiv w:val="1"/>
      <w:marLeft w:val="0"/>
      <w:marRight w:val="0"/>
      <w:marTop w:val="0"/>
      <w:marBottom w:val="0"/>
      <w:divBdr>
        <w:top w:val="none" w:sz="0" w:space="0" w:color="auto"/>
        <w:left w:val="none" w:sz="0" w:space="0" w:color="auto"/>
        <w:bottom w:val="none" w:sz="0" w:space="0" w:color="auto"/>
        <w:right w:val="none" w:sz="0" w:space="0" w:color="auto"/>
      </w:divBdr>
    </w:div>
    <w:div w:id="615138341">
      <w:bodyDiv w:val="1"/>
      <w:marLeft w:val="0"/>
      <w:marRight w:val="0"/>
      <w:marTop w:val="0"/>
      <w:marBottom w:val="0"/>
      <w:divBdr>
        <w:top w:val="none" w:sz="0" w:space="0" w:color="auto"/>
        <w:left w:val="none" w:sz="0" w:space="0" w:color="auto"/>
        <w:bottom w:val="none" w:sz="0" w:space="0" w:color="auto"/>
        <w:right w:val="none" w:sz="0" w:space="0" w:color="auto"/>
      </w:divBdr>
      <w:divsChild>
        <w:div w:id="1958491077">
          <w:marLeft w:val="0"/>
          <w:marRight w:val="0"/>
          <w:marTop w:val="0"/>
          <w:marBottom w:val="0"/>
          <w:divBdr>
            <w:top w:val="none" w:sz="0" w:space="0" w:color="auto"/>
            <w:left w:val="none" w:sz="0" w:space="0" w:color="auto"/>
            <w:bottom w:val="none" w:sz="0" w:space="0" w:color="auto"/>
            <w:right w:val="none" w:sz="0" w:space="0" w:color="auto"/>
          </w:divBdr>
        </w:div>
      </w:divsChild>
    </w:div>
    <w:div w:id="623459821">
      <w:bodyDiv w:val="1"/>
      <w:marLeft w:val="0"/>
      <w:marRight w:val="0"/>
      <w:marTop w:val="0"/>
      <w:marBottom w:val="0"/>
      <w:divBdr>
        <w:top w:val="none" w:sz="0" w:space="0" w:color="auto"/>
        <w:left w:val="none" w:sz="0" w:space="0" w:color="auto"/>
        <w:bottom w:val="none" w:sz="0" w:space="0" w:color="auto"/>
        <w:right w:val="none" w:sz="0" w:space="0" w:color="auto"/>
      </w:divBdr>
    </w:div>
    <w:div w:id="623579071">
      <w:bodyDiv w:val="1"/>
      <w:marLeft w:val="0"/>
      <w:marRight w:val="0"/>
      <w:marTop w:val="0"/>
      <w:marBottom w:val="0"/>
      <w:divBdr>
        <w:top w:val="none" w:sz="0" w:space="0" w:color="auto"/>
        <w:left w:val="none" w:sz="0" w:space="0" w:color="auto"/>
        <w:bottom w:val="none" w:sz="0" w:space="0" w:color="auto"/>
        <w:right w:val="none" w:sz="0" w:space="0" w:color="auto"/>
      </w:divBdr>
    </w:div>
    <w:div w:id="635263519">
      <w:bodyDiv w:val="1"/>
      <w:marLeft w:val="0"/>
      <w:marRight w:val="0"/>
      <w:marTop w:val="0"/>
      <w:marBottom w:val="0"/>
      <w:divBdr>
        <w:top w:val="none" w:sz="0" w:space="0" w:color="auto"/>
        <w:left w:val="none" w:sz="0" w:space="0" w:color="auto"/>
        <w:bottom w:val="none" w:sz="0" w:space="0" w:color="auto"/>
        <w:right w:val="none" w:sz="0" w:space="0" w:color="auto"/>
      </w:divBdr>
    </w:div>
    <w:div w:id="644092485">
      <w:bodyDiv w:val="1"/>
      <w:marLeft w:val="0"/>
      <w:marRight w:val="0"/>
      <w:marTop w:val="0"/>
      <w:marBottom w:val="0"/>
      <w:divBdr>
        <w:top w:val="none" w:sz="0" w:space="0" w:color="auto"/>
        <w:left w:val="none" w:sz="0" w:space="0" w:color="auto"/>
        <w:bottom w:val="none" w:sz="0" w:space="0" w:color="auto"/>
        <w:right w:val="none" w:sz="0" w:space="0" w:color="auto"/>
      </w:divBdr>
    </w:div>
    <w:div w:id="672875905">
      <w:bodyDiv w:val="1"/>
      <w:marLeft w:val="0"/>
      <w:marRight w:val="0"/>
      <w:marTop w:val="0"/>
      <w:marBottom w:val="0"/>
      <w:divBdr>
        <w:top w:val="none" w:sz="0" w:space="0" w:color="auto"/>
        <w:left w:val="none" w:sz="0" w:space="0" w:color="auto"/>
        <w:bottom w:val="none" w:sz="0" w:space="0" w:color="auto"/>
        <w:right w:val="none" w:sz="0" w:space="0" w:color="auto"/>
      </w:divBdr>
    </w:div>
    <w:div w:id="677389852">
      <w:bodyDiv w:val="1"/>
      <w:marLeft w:val="0"/>
      <w:marRight w:val="0"/>
      <w:marTop w:val="0"/>
      <w:marBottom w:val="0"/>
      <w:divBdr>
        <w:top w:val="none" w:sz="0" w:space="0" w:color="auto"/>
        <w:left w:val="none" w:sz="0" w:space="0" w:color="auto"/>
        <w:bottom w:val="none" w:sz="0" w:space="0" w:color="auto"/>
        <w:right w:val="none" w:sz="0" w:space="0" w:color="auto"/>
      </w:divBdr>
    </w:div>
    <w:div w:id="689143071">
      <w:bodyDiv w:val="1"/>
      <w:marLeft w:val="0"/>
      <w:marRight w:val="0"/>
      <w:marTop w:val="0"/>
      <w:marBottom w:val="0"/>
      <w:divBdr>
        <w:top w:val="none" w:sz="0" w:space="0" w:color="auto"/>
        <w:left w:val="none" w:sz="0" w:space="0" w:color="auto"/>
        <w:bottom w:val="none" w:sz="0" w:space="0" w:color="auto"/>
        <w:right w:val="none" w:sz="0" w:space="0" w:color="auto"/>
      </w:divBdr>
    </w:div>
    <w:div w:id="713383479">
      <w:bodyDiv w:val="1"/>
      <w:marLeft w:val="0"/>
      <w:marRight w:val="0"/>
      <w:marTop w:val="0"/>
      <w:marBottom w:val="0"/>
      <w:divBdr>
        <w:top w:val="none" w:sz="0" w:space="0" w:color="auto"/>
        <w:left w:val="none" w:sz="0" w:space="0" w:color="auto"/>
        <w:bottom w:val="none" w:sz="0" w:space="0" w:color="auto"/>
        <w:right w:val="none" w:sz="0" w:space="0" w:color="auto"/>
      </w:divBdr>
    </w:div>
    <w:div w:id="716395641">
      <w:bodyDiv w:val="1"/>
      <w:marLeft w:val="0"/>
      <w:marRight w:val="0"/>
      <w:marTop w:val="0"/>
      <w:marBottom w:val="0"/>
      <w:divBdr>
        <w:top w:val="none" w:sz="0" w:space="0" w:color="auto"/>
        <w:left w:val="none" w:sz="0" w:space="0" w:color="auto"/>
        <w:bottom w:val="none" w:sz="0" w:space="0" w:color="auto"/>
        <w:right w:val="none" w:sz="0" w:space="0" w:color="auto"/>
      </w:divBdr>
    </w:div>
    <w:div w:id="735512500">
      <w:bodyDiv w:val="1"/>
      <w:marLeft w:val="0"/>
      <w:marRight w:val="0"/>
      <w:marTop w:val="0"/>
      <w:marBottom w:val="0"/>
      <w:divBdr>
        <w:top w:val="none" w:sz="0" w:space="0" w:color="auto"/>
        <w:left w:val="none" w:sz="0" w:space="0" w:color="auto"/>
        <w:bottom w:val="none" w:sz="0" w:space="0" w:color="auto"/>
        <w:right w:val="none" w:sz="0" w:space="0" w:color="auto"/>
      </w:divBdr>
    </w:div>
    <w:div w:id="740522345">
      <w:bodyDiv w:val="1"/>
      <w:marLeft w:val="0"/>
      <w:marRight w:val="0"/>
      <w:marTop w:val="0"/>
      <w:marBottom w:val="0"/>
      <w:divBdr>
        <w:top w:val="none" w:sz="0" w:space="0" w:color="auto"/>
        <w:left w:val="none" w:sz="0" w:space="0" w:color="auto"/>
        <w:bottom w:val="none" w:sz="0" w:space="0" w:color="auto"/>
        <w:right w:val="none" w:sz="0" w:space="0" w:color="auto"/>
      </w:divBdr>
    </w:div>
    <w:div w:id="741295723">
      <w:bodyDiv w:val="1"/>
      <w:marLeft w:val="0"/>
      <w:marRight w:val="0"/>
      <w:marTop w:val="0"/>
      <w:marBottom w:val="0"/>
      <w:divBdr>
        <w:top w:val="none" w:sz="0" w:space="0" w:color="auto"/>
        <w:left w:val="none" w:sz="0" w:space="0" w:color="auto"/>
        <w:bottom w:val="none" w:sz="0" w:space="0" w:color="auto"/>
        <w:right w:val="none" w:sz="0" w:space="0" w:color="auto"/>
      </w:divBdr>
    </w:div>
    <w:div w:id="743451439">
      <w:bodyDiv w:val="1"/>
      <w:marLeft w:val="0"/>
      <w:marRight w:val="0"/>
      <w:marTop w:val="0"/>
      <w:marBottom w:val="0"/>
      <w:divBdr>
        <w:top w:val="none" w:sz="0" w:space="0" w:color="auto"/>
        <w:left w:val="none" w:sz="0" w:space="0" w:color="auto"/>
        <w:bottom w:val="none" w:sz="0" w:space="0" w:color="auto"/>
        <w:right w:val="none" w:sz="0" w:space="0" w:color="auto"/>
      </w:divBdr>
    </w:div>
    <w:div w:id="743721863">
      <w:bodyDiv w:val="1"/>
      <w:marLeft w:val="0"/>
      <w:marRight w:val="0"/>
      <w:marTop w:val="0"/>
      <w:marBottom w:val="0"/>
      <w:divBdr>
        <w:top w:val="none" w:sz="0" w:space="0" w:color="auto"/>
        <w:left w:val="none" w:sz="0" w:space="0" w:color="auto"/>
        <w:bottom w:val="none" w:sz="0" w:space="0" w:color="auto"/>
        <w:right w:val="none" w:sz="0" w:space="0" w:color="auto"/>
      </w:divBdr>
    </w:div>
    <w:div w:id="750811832">
      <w:bodyDiv w:val="1"/>
      <w:marLeft w:val="0"/>
      <w:marRight w:val="0"/>
      <w:marTop w:val="0"/>
      <w:marBottom w:val="0"/>
      <w:divBdr>
        <w:top w:val="none" w:sz="0" w:space="0" w:color="auto"/>
        <w:left w:val="none" w:sz="0" w:space="0" w:color="auto"/>
        <w:bottom w:val="none" w:sz="0" w:space="0" w:color="auto"/>
        <w:right w:val="none" w:sz="0" w:space="0" w:color="auto"/>
      </w:divBdr>
    </w:div>
    <w:div w:id="771363634">
      <w:bodyDiv w:val="1"/>
      <w:marLeft w:val="0"/>
      <w:marRight w:val="0"/>
      <w:marTop w:val="0"/>
      <w:marBottom w:val="0"/>
      <w:divBdr>
        <w:top w:val="none" w:sz="0" w:space="0" w:color="auto"/>
        <w:left w:val="none" w:sz="0" w:space="0" w:color="auto"/>
        <w:bottom w:val="none" w:sz="0" w:space="0" w:color="auto"/>
        <w:right w:val="none" w:sz="0" w:space="0" w:color="auto"/>
      </w:divBdr>
    </w:div>
    <w:div w:id="776487093">
      <w:bodyDiv w:val="1"/>
      <w:marLeft w:val="0"/>
      <w:marRight w:val="0"/>
      <w:marTop w:val="0"/>
      <w:marBottom w:val="0"/>
      <w:divBdr>
        <w:top w:val="none" w:sz="0" w:space="0" w:color="auto"/>
        <w:left w:val="none" w:sz="0" w:space="0" w:color="auto"/>
        <w:bottom w:val="none" w:sz="0" w:space="0" w:color="auto"/>
        <w:right w:val="none" w:sz="0" w:space="0" w:color="auto"/>
      </w:divBdr>
    </w:div>
    <w:div w:id="795683124">
      <w:bodyDiv w:val="1"/>
      <w:marLeft w:val="0"/>
      <w:marRight w:val="0"/>
      <w:marTop w:val="0"/>
      <w:marBottom w:val="0"/>
      <w:divBdr>
        <w:top w:val="none" w:sz="0" w:space="0" w:color="auto"/>
        <w:left w:val="none" w:sz="0" w:space="0" w:color="auto"/>
        <w:bottom w:val="none" w:sz="0" w:space="0" w:color="auto"/>
        <w:right w:val="none" w:sz="0" w:space="0" w:color="auto"/>
      </w:divBdr>
    </w:div>
    <w:div w:id="798452364">
      <w:bodyDiv w:val="1"/>
      <w:marLeft w:val="0"/>
      <w:marRight w:val="0"/>
      <w:marTop w:val="0"/>
      <w:marBottom w:val="0"/>
      <w:divBdr>
        <w:top w:val="none" w:sz="0" w:space="0" w:color="auto"/>
        <w:left w:val="none" w:sz="0" w:space="0" w:color="auto"/>
        <w:bottom w:val="none" w:sz="0" w:space="0" w:color="auto"/>
        <w:right w:val="none" w:sz="0" w:space="0" w:color="auto"/>
      </w:divBdr>
    </w:div>
    <w:div w:id="804004032">
      <w:bodyDiv w:val="1"/>
      <w:marLeft w:val="0"/>
      <w:marRight w:val="0"/>
      <w:marTop w:val="0"/>
      <w:marBottom w:val="0"/>
      <w:divBdr>
        <w:top w:val="none" w:sz="0" w:space="0" w:color="auto"/>
        <w:left w:val="none" w:sz="0" w:space="0" w:color="auto"/>
        <w:bottom w:val="none" w:sz="0" w:space="0" w:color="auto"/>
        <w:right w:val="none" w:sz="0" w:space="0" w:color="auto"/>
      </w:divBdr>
    </w:div>
    <w:div w:id="811095092">
      <w:bodyDiv w:val="1"/>
      <w:marLeft w:val="0"/>
      <w:marRight w:val="0"/>
      <w:marTop w:val="0"/>
      <w:marBottom w:val="0"/>
      <w:divBdr>
        <w:top w:val="none" w:sz="0" w:space="0" w:color="auto"/>
        <w:left w:val="none" w:sz="0" w:space="0" w:color="auto"/>
        <w:bottom w:val="none" w:sz="0" w:space="0" w:color="auto"/>
        <w:right w:val="none" w:sz="0" w:space="0" w:color="auto"/>
      </w:divBdr>
    </w:div>
    <w:div w:id="829255217">
      <w:bodyDiv w:val="1"/>
      <w:marLeft w:val="0"/>
      <w:marRight w:val="0"/>
      <w:marTop w:val="0"/>
      <w:marBottom w:val="0"/>
      <w:divBdr>
        <w:top w:val="none" w:sz="0" w:space="0" w:color="auto"/>
        <w:left w:val="none" w:sz="0" w:space="0" w:color="auto"/>
        <w:bottom w:val="none" w:sz="0" w:space="0" w:color="auto"/>
        <w:right w:val="none" w:sz="0" w:space="0" w:color="auto"/>
      </w:divBdr>
    </w:div>
    <w:div w:id="836456836">
      <w:bodyDiv w:val="1"/>
      <w:marLeft w:val="0"/>
      <w:marRight w:val="0"/>
      <w:marTop w:val="0"/>
      <w:marBottom w:val="0"/>
      <w:divBdr>
        <w:top w:val="none" w:sz="0" w:space="0" w:color="auto"/>
        <w:left w:val="none" w:sz="0" w:space="0" w:color="auto"/>
        <w:bottom w:val="none" w:sz="0" w:space="0" w:color="auto"/>
        <w:right w:val="none" w:sz="0" w:space="0" w:color="auto"/>
      </w:divBdr>
    </w:div>
    <w:div w:id="844246527">
      <w:bodyDiv w:val="1"/>
      <w:marLeft w:val="0"/>
      <w:marRight w:val="0"/>
      <w:marTop w:val="0"/>
      <w:marBottom w:val="0"/>
      <w:divBdr>
        <w:top w:val="none" w:sz="0" w:space="0" w:color="auto"/>
        <w:left w:val="none" w:sz="0" w:space="0" w:color="auto"/>
        <w:bottom w:val="none" w:sz="0" w:space="0" w:color="auto"/>
        <w:right w:val="none" w:sz="0" w:space="0" w:color="auto"/>
      </w:divBdr>
    </w:div>
    <w:div w:id="857817509">
      <w:bodyDiv w:val="1"/>
      <w:marLeft w:val="0"/>
      <w:marRight w:val="0"/>
      <w:marTop w:val="0"/>
      <w:marBottom w:val="0"/>
      <w:divBdr>
        <w:top w:val="none" w:sz="0" w:space="0" w:color="auto"/>
        <w:left w:val="none" w:sz="0" w:space="0" w:color="auto"/>
        <w:bottom w:val="none" w:sz="0" w:space="0" w:color="auto"/>
        <w:right w:val="none" w:sz="0" w:space="0" w:color="auto"/>
      </w:divBdr>
    </w:div>
    <w:div w:id="858589116">
      <w:bodyDiv w:val="1"/>
      <w:marLeft w:val="0"/>
      <w:marRight w:val="0"/>
      <w:marTop w:val="0"/>
      <w:marBottom w:val="0"/>
      <w:divBdr>
        <w:top w:val="none" w:sz="0" w:space="0" w:color="auto"/>
        <w:left w:val="none" w:sz="0" w:space="0" w:color="auto"/>
        <w:bottom w:val="none" w:sz="0" w:space="0" w:color="auto"/>
        <w:right w:val="none" w:sz="0" w:space="0" w:color="auto"/>
      </w:divBdr>
    </w:div>
    <w:div w:id="863594503">
      <w:bodyDiv w:val="1"/>
      <w:marLeft w:val="0"/>
      <w:marRight w:val="0"/>
      <w:marTop w:val="0"/>
      <w:marBottom w:val="0"/>
      <w:divBdr>
        <w:top w:val="none" w:sz="0" w:space="0" w:color="auto"/>
        <w:left w:val="none" w:sz="0" w:space="0" w:color="auto"/>
        <w:bottom w:val="none" w:sz="0" w:space="0" w:color="auto"/>
        <w:right w:val="none" w:sz="0" w:space="0" w:color="auto"/>
      </w:divBdr>
    </w:div>
    <w:div w:id="869682579">
      <w:bodyDiv w:val="1"/>
      <w:marLeft w:val="0"/>
      <w:marRight w:val="0"/>
      <w:marTop w:val="0"/>
      <w:marBottom w:val="0"/>
      <w:divBdr>
        <w:top w:val="none" w:sz="0" w:space="0" w:color="auto"/>
        <w:left w:val="none" w:sz="0" w:space="0" w:color="auto"/>
        <w:bottom w:val="none" w:sz="0" w:space="0" w:color="auto"/>
        <w:right w:val="none" w:sz="0" w:space="0" w:color="auto"/>
      </w:divBdr>
    </w:div>
    <w:div w:id="873032898">
      <w:bodyDiv w:val="1"/>
      <w:marLeft w:val="0"/>
      <w:marRight w:val="0"/>
      <w:marTop w:val="0"/>
      <w:marBottom w:val="0"/>
      <w:divBdr>
        <w:top w:val="none" w:sz="0" w:space="0" w:color="auto"/>
        <w:left w:val="none" w:sz="0" w:space="0" w:color="auto"/>
        <w:bottom w:val="none" w:sz="0" w:space="0" w:color="auto"/>
        <w:right w:val="none" w:sz="0" w:space="0" w:color="auto"/>
      </w:divBdr>
    </w:div>
    <w:div w:id="874271972">
      <w:bodyDiv w:val="1"/>
      <w:marLeft w:val="0"/>
      <w:marRight w:val="0"/>
      <w:marTop w:val="0"/>
      <w:marBottom w:val="0"/>
      <w:divBdr>
        <w:top w:val="none" w:sz="0" w:space="0" w:color="auto"/>
        <w:left w:val="none" w:sz="0" w:space="0" w:color="auto"/>
        <w:bottom w:val="none" w:sz="0" w:space="0" w:color="auto"/>
        <w:right w:val="none" w:sz="0" w:space="0" w:color="auto"/>
      </w:divBdr>
    </w:div>
    <w:div w:id="876699613">
      <w:bodyDiv w:val="1"/>
      <w:marLeft w:val="0"/>
      <w:marRight w:val="0"/>
      <w:marTop w:val="0"/>
      <w:marBottom w:val="0"/>
      <w:divBdr>
        <w:top w:val="none" w:sz="0" w:space="0" w:color="auto"/>
        <w:left w:val="none" w:sz="0" w:space="0" w:color="auto"/>
        <w:bottom w:val="none" w:sz="0" w:space="0" w:color="auto"/>
        <w:right w:val="none" w:sz="0" w:space="0" w:color="auto"/>
      </w:divBdr>
    </w:div>
    <w:div w:id="878778561">
      <w:bodyDiv w:val="1"/>
      <w:marLeft w:val="0"/>
      <w:marRight w:val="0"/>
      <w:marTop w:val="0"/>
      <w:marBottom w:val="0"/>
      <w:divBdr>
        <w:top w:val="none" w:sz="0" w:space="0" w:color="auto"/>
        <w:left w:val="none" w:sz="0" w:space="0" w:color="auto"/>
        <w:bottom w:val="none" w:sz="0" w:space="0" w:color="auto"/>
        <w:right w:val="none" w:sz="0" w:space="0" w:color="auto"/>
      </w:divBdr>
    </w:div>
    <w:div w:id="913709333">
      <w:bodyDiv w:val="1"/>
      <w:marLeft w:val="0"/>
      <w:marRight w:val="0"/>
      <w:marTop w:val="0"/>
      <w:marBottom w:val="0"/>
      <w:divBdr>
        <w:top w:val="none" w:sz="0" w:space="0" w:color="auto"/>
        <w:left w:val="none" w:sz="0" w:space="0" w:color="auto"/>
        <w:bottom w:val="none" w:sz="0" w:space="0" w:color="auto"/>
        <w:right w:val="none" w:sz="0" w:space="0" w:color="auto"/>
      </w:divBdr>
    </w:div>
    <w:div w:id="937835745">
      <w:bodyDiv w:val="1"/>
      <w:marLeft w:val="0"/>
      <w:marRight w:val="0"/>
      <w:marTop w:val="0"/>
      <w:marBottom w:val="0"/>
      <w:divBdr>
        <w:top w:val="none" w:sz="0" w:space="0" w:color="auto"/>
        <w:left w:val="none" w:sz="0" w:space="0" w:color="auto"/>
        <w:bottom w:val="none" w:sz="0" w:space="0" w:color="auto"/>
        <w:right w:val="none" w:sz="0" w:space="0" w:color="auto"/>
      </w:divBdr>
    </w:div>
    <w:div w:id="938029036">
      <w:bodyDiv w:val="1"/>
      <w:marLeft w:val="0"/>
      <w:marRight w:val="0"/>
      <w:marTop w:val="0"/>
      <w:marBottom w:val="0"/>
      <w:divBdr>
        <w:top w:val="none" w:sz="0" w:space="0" w:color="auto"/>
        <w:left w:val="none" w:sz="0" w:space="0" w:color="auto"/>
        <w:bottom w:val="none" w:sz="0" w:space="0" w:color="auto"/>
        <w:right w:val="none" w:sz="0" w:space="0" w:color="auto"/>
      </w:divBdr>
    </w:div>
    <w:div w:id="949438955">
      <w:bodyDiv w:val="1"/>
      <w:marLeft w:val="0"/>
      <w:marRight w:val="0"/>
      <w:marTop w:val="0"/>
      <w:marBottom w:val="0"/>
      <w:divBdr>
        <w:top w:val="none" w:sz="0" w:space="0" w:color="auto"/>
        <w:left w:val="none" w:sz="0" w:space="0" w:color="auto"/>
        <w:bottom w:val="none" w:sz="0" w:space="0" w:color="auto"/>
        <w:right w:val="none" w:sz="0" w:space="0" w:color="auto"/>
      </w:divBdr>
    </w:div>
    <w:div w:id="953751540">
      <w:bodyDiv w:val="1"/>
      <w:marLeft w:val="0"/>
      <w:marRight w:val="0"/>
      <w:marTop w:val="0"/>
      <w:marBottom w:val="0"/>
      <w:divBdr>
        <w:top w:val="none" w:sz="0" w:space="0" w:color="auto"/>
        <w:left w:val="none" w:sz="0" w:space="0" w:color="auto"/>
        <w:bottom w:val="none" w:sz="0" w:space="0" w:color="auto"/>
        <w:right w:val="none" w:sz="0" w:space="0" w:color="auto"/>
      </w:divBdr>
    </w:div>
    <w:div w:id="955596319">
      <w:bodyDiv w:val="1"/>
      <w:marLeft w:val="0"/>
      <w:marRight w:val="0"/>
      <w:marTop w:val="0"/>
      <w:marBottom w:val="0"/>
      <w:divBdr>
        <w:top w:val="none" w:sz="0" w:space="0" w:color="auto"/>
        <w:left w:val="none" w:sz="0" w:space="0" w:color="auto"/>
        <w:bottom w:val="none" w:sz="0" w:space="0" w:color="auto"/>
        <w:right w:val="none" w:sz="0" w:space="0" w:color="auto"/>
      </w:divBdr>
    </w:div>
    <w:div w:id="960650261">
      <w:bodyDiv w:val="1"/>
      <w:marLeft w:val="0"/>
      <w:marRight w:val="0"/>
      <w:marTop w:val="0"/>
      <w:marBottom w:val="0"/>
      <w:divBdr>
        <w:top w:val="none" w:sz="0" w:space="0" w:color="auto"/>
        <w:left w:val="none" w:sz="0" w:space="0" w:color="auto"/>
        <w:bottom w:val="none" w:sz="0" w:space="0" w:color="auto"/>
        <w:right w:val="none" w:sz="0" w:space="0" w:color="auto"/>
      </w:divBdr>
    </w:div>
    <w:div w:id="985208434">
      <w:bodyDiv w:val="1"/>
      <w:marLeft w:val="0"/>
      <w:marRight w:val="0"/>
      <w:marTop w:val="0"/>
      <w:marBottom w:val="0"/>
      <w:divBdr>
        <w:top w:val="none" w:sz="0" w:space="0" w:color="auto"/>
        <w:left w:val="none" w:sz="0" w:space="0" w:color="auto"/>
        <w:bottom w:val="none" w:sz="0" w:space="0" w:color="auto"/>
        <w:right w:val="none" w:sz="0" w:space="0" w:color="auto"/>
      </w:divBdr>
    </w:div>
    <w:div w:id="987125478">
      <w:bodyDiv w:val="1"/>
      <w:marLeft w:val="0"/>
      <w:marRight w:val="0"/>
      <w:marTop w:val="0"/>
      <w:marBottom w:val="0"/>
      <w:divBdr>
        <w:top w:val="none" w:sz="0" w:space="0" w:color="auto"/>
        <w:left w:val="none" w:sz="0" w:space="0" w:color="auto"/>
        <w:bottom w:val="none" w:sz="0" w:space="0" w:color="auto"/>
        <w:right w:val="none" w:sz="0" w:space="0" w:color="auto"/>
      </w:divBdr>
    </w:div>
    <w:div w:id="993921565">
      <w:bodyDiv w:val="1"/>
      <w:marLeft w:val="0"/>
      <w:marRight w:val="0"/>
      <w:marTop w:val="0"/>
      <w:marBottom w:val="0"/>
      <w:divBdr>
        <w:top w:val="none" w:sz="0" w:space="0" w:color="auto"/>
        <w:left w:val="none" w:sz="0" w:space="0" w:color="auto"/>
        <w:bottom w:val="none" w:sz="0" w:space="0" w:color="auto"/>
        <w:right w:val="none" w:sz="0" w:space="0" w:color="auto"/>
      </w:divBdr>
    </w:div>
    <w:div w:id="1001346986">
      <w:bodyDiv w:val="1"/>
      <w:marLeft w:val="0"/>
      <w:marRight w:val="0"/>
      <w:marTop w:val="0"/>
      <w:marBottom w:val="0"/>
      <w:divBdr>
        <w:top w:val="none" w:sz="0" w:space="0" w:color="auto"/>
        <w:left w:val="none" w:sz="0" w:space="0" w:color="auto"/>
        <w:bottom w:val="none" w:sz="0" w:space="0" w:color="auto"/>
        <w:right w:val="none" w:sz="0" w:space="0" w:color="auto"/>
      </w:divBdr>
    </w:div>
    <w:div w:id="1030185734">
      <w:bodyDiv w:val="1"/>
      <w:marLeft w:val="0"/>
      <w:marRight w:val="0"/>
      <w:marTop w:val="0"/>
      <w:marBottom w:val="0"/>
      <w:divBdr>
        <w:top w:val="none" w:sz="0" w:space="0" w:color="auto"/>
        <w:left w:val="none" w:sz="0" w:space="0" w:color="auto"/>
        <w:bottom w:val="none" w:sz="0" w:space="0" w:color="auto"/>
        <w:right w:val="none" w:sz="0" w:space="0" w:color="auto"/>
      </w:divBdr>
    </w:div>
    <w:div w:id="1047921280">
      <w:bodyDiv w:val="1"/>
      <w:marLeft w:val="0"/>
      <w:marRight w:val="0"/>
      <w:marTop w:val="0"/>
      <w:marBottom w:val="0"/>
      <w:divBdr>
        <w:top w:val="none" w:sz="0" w:space="0" w:color="auto"/>
        <w:left w:val="none" w:sz="0" w:space="0" w:color="auto"/>
        <w:bottom w:val="none" w:sz="0" w:space="0" w:color="auto"/>
        <w:right w:val="none" w:sz="0" w:space="0" w:color="auto"/>
      </w:divBdr>
    </w:div>
    <w:div w:id="1061751573">
      <w:bodyDiv w:val="1"/>
      <w:marLeft w:val="0"/>
      <w:marRight w:val="0"/>
      <w:marTop w:val="0"/>
      <w:marBottom w:val="0"/>
      <w:divBdr>
        <w:top w:val="none" w:sz="0" w:space="0" w:color="auto"/>
        <w:left w:val="none" w:sz="0" w:space="0" w:color="auto"/>
        <w:bottom w:val="none" w:sz="0" w:space="0" w:color="auto"/>
        <w:right w:val="none" w:sz="0" w:space="0" w:color="auto"/>
      </w:divBdr>
    </w:div>
    <w:div w:id="1065646732">
      <w:bodyDiv w:val="1"/>
      <w:marLeft w:val="0"/>
      <w:marRight w:val="0"/>
      <w:marTop w:val="0"/>
      <w:marBottom w:val="0"/>
      <w:divBdr>
        <w:top w:val="none" w:sz="0" w:space="0" w:color="auto"/>
        <w:left w:val="none" w:sz="0" w:space="0" w:color="auto"/>
        <w:bottom w:val="none" w:sz="0" w:space="0" w:color="auto"/>
        <w:right w:val="none" w:sz="0" w:space="0" w:color="auto"/>
      </w:divBdr>
    </w:div>
    <w:div w:id="1066223471">
      <w:bodyDiv w:val="1"/>
      <w:marLeft w:val="0"/>
      <w:marRight w:val="0"/>
      <w:marTop w:val="0"/>
      <w:marBottom w:val="0"/>
      <w:divBdr>
        <w:top w:val="none" w:sz="0" w:space="0" w:color="auto"/>
        <w:left w:val="none" w:sz="0" w:space="0" w:color="auto"/>
        <w:bottom w:val="none" w:sz="0" w:space="0" w:color="auto"/>
        <w:right w:val="none" w:sz="0" w:space="0" w:color="auto"/>
      </w:divBdr>
    </w:div>
    <w:div w:id="1085297401">
      <w:bodyDiv w:val="1"/>
      <w:marLeft w:val="0"/>
      <w:marRight w:val="0"/>
      <w:marTop w:val="0"/>
      <w:marBottom w:val="0"/>
      <w:divBdr>
        <w:top w:val="none" w:sz="0" w:space="0" w:color="auto"/>
        <w:left w:val="none" w:sz="0" w:space="0" w:color="auto"/>
        <w:bottom w:val="none" w:sz="0" w:space="0" w:color="auto"/>
        <w:right w:val="none" w:sz="0" w:space="0" w:color="auto"/>
      </w:divBdr>
    </w:div>
    <w:div w:id="1085884630">
      <w:bodyDiv w:val="1"/>
      <w:marLeft w:val="0"/>
      <w:marRight w:val="0"/>
      <w:marTop w:val="0"/>
      <w:marBottom w:val="0"/>
      <w:divBdr>
        <w:top w:val="none" w:sz="0" w:space="0" w:color="auto"/>
        <w:left w:val="none" w:sz="0" w:space="0" w:color="auto"/>
        <w:bottom w:val="none" w:sz="0" w:space="0" w:color="auto"/>
        <w:right w:val="none" w:sz="0" w:space="0" w:color="auto"/>
      </w:divBdr>
    </w:div>
    <w:div w:id="1098718855">
      <w:bodyDiv w:val="1"/>
      <w:marLeft w:val="0"/>
      <w:marRight w:val="0"/>
      <w:marTop w:val="0"/>
      <w:marBottom w:val="0"/>
      <w:divBdr>
        <w:top w:val="none" w:sz="0" w:space="0" w:color="auto"/>
        <w:left w:val="none" w:sz="0" w:space="0" w:color="auto"/>
        <w:bottom w:val="none" w:sz="0" w:space="0" w:color="auto"/>
        <w:right w:val="none" w:sz="0" w:space="0" w:color="auto"/>
      </w:divBdr>
    </w:div>
    <w:div w:id="1117748628">
      <w:bodyDiv w:val="1"/>
      <w:marLeft w:val="0"/>
      <w:marRight w:val="0"/>
      <w:marTop w:val="0"/>
      <w:marBottom w:val="0"/>
      <w:divBdr>
        <w:top w:val="none" w:sz="0" w:space="0" w:color="auto"/>
        <w:left w:val="none" w:sz="0" w:space="0" w:color="auto"/>
        <w:bottom w:val="none" w:sz="0" w:space="0" w:color="auto"/>
        <w:right w:val="none" w:sz="0" w:space="0" w:color="auto"/>
      </w:divBdr>
    </w:div>
    <w:div w:id="1118526506">
      <w:bodyDiv w:val="1"/>
      <w:marLeft w:val="0"/>
      <w:marRight w:val="0"/>
      <w:marTop w:val="0"/>
      <w:marBottom w:val="0"/>
      <w:divBdr>
        <w:top w:val="none" w:sz="0" w:space="0" w:color="auto"/>
        <w:left w:val="none" w:sz="0" w:space="0" w:color="auto"/>
        <w:bottom w:val="none" w:sz="0" w:space="0" w:color="auto"/>
        <w:right w:val="none" w:sz="0" w:space="0" w:color="auto"/>
      </w:divBdr>
    </w:div>
    <w:div w:id="1161892038">
      <w:bodyDiv w:val="1"/>
      <w:marLeft w:val="0"/>
      <w:marRight w:val="0"/>
      <w:marTop w:val="0"/>
      <w:marBottom w:val="0"/>
      <w:divBdr>
        <w:top w:val="none" w:sz="0" w:space="0" w:color="auto"/>
        <w:left w:val="none" w:sz="0" w:space="0" w:color="auto"/>
        <w:bottom w:val="none" w:sz="0" w:space="0" w:color="auto"/>
        <w:right w:val="none" w:sz="0" w:space="0" w:color="auto"/>
      </w:divBdr>
    </w:div>
    <w:div w:id="1171530984">
      <w:bodyDiv w:val="1"/>
      <w:marLeft w:val="0"/>
      <w:marRight w:val="0"/>
      <w:marTop w:val="0"/>
      <w:marBottom w:val="0"/>
      <w:divBdr>
        <w:top w:val="none" w:sz="0" w:space="0" w:color="auto"/>
        <w:left w:val="none" w:sz="0" w:space="0" w:color="auto"/>
        <w:bottom w:val="none" w:sz="0" w:space="0" w:color="auto"/>
        <w:right w:val="none" w:sz="0" w:space="0" w:color="auto"/>
      </w:divBdr>
    </w:div>
    <w:div w:id="1183712973">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2791255">
      <w:bodyDiv w:val="1"/>
      <w:marLeft w:val="0"/>
      <w:marRight w:val="0"/>
      <w:marTop w:val="0"/>
      <w:marBottom w:val="0"/>
      <w:divBdr>
        <w:top w:val="none" w:sz="0" w:space="0" w:color="auto"/>
        <w:left w:val="none" w:sz="0" w:space="0" w:color="auto"/>
        <w:bottom w:val="none" w:sz="0" w:space="0" w:color="auto"/>
        <w:right w:val="none" w:sz="0" w:space="0" w:color="auto"/>
      </w:divBdr>
    </w:div>
    <w:div w:id="1208565880">
      <w:bodyDiv w:val="1"/>
      <w:marLeft w:val="0"/>
      <w:marRight w:val="0"/>
      <w:marTop w:val="0"/>
      <w:marBottom w:val="0"/>
      <w:divBdr>
        <w:top w:val="none" w:sz="0" w:space="0" w:color="auto"/>
        <w:left w:val="none" w:sz="0" w:space="0" w:color="auto"/>
        <w:bottom w:val="none" w:sz="0" w:space="0" w:color="auto"/>
        <w:right w:val="none" w:sz="0" w:space="0" w:color="auto"/>
      </w:divBdr>
    </w:div>
    <w:div w:id="1228416198">
      <w:bodyDiv w:val="1"/>
      <w:marLeft w:val="0"/>
      <w:marRight w:val="0"/>
      <w:marTop w:val="0"/>
      <w:marBottom w:val="0"/>
      <w:divBdr>
        <w:top w:val="none" w:sz="0" w:space="0" w:color="auto"/>
        <w:left w:val="none" w:sz="0" w:space="0" w:color="auto"/>
        <w:bottom w:val="none" w:sz="0" w:space="0" w:color="auto"/>
        <w:right w:val="none" w:sz="0" w:space="0" w:color="auto"/>
      </w:divBdr>
    </w:div>
    <w:div w:id="1229878224">
      <w:bodyDiv w:val="1"/>
      <w:marLeft w:val="0"/>
      <w:marRight w:val="0"/>
      <w:marTop w:val="0"/>
      <w:marBottom w:val="0"/>
      <w:divBdr>
        <w:top w:val="none" w:sz="0" w:space="0" w:color="auto"/>
        <w:left w:val="none" w:sz="0" w:space="0" w:color="auto"/>
        <w:bottom w:val="none" w:sz="0" w:space="0" w:color="auto"/>
        <w:right w:val="none" w:sz="0" w:space="0" w:color="auto"/>
      </w:divBdr>
    </w:div>
    <w:div w:id="1232732518">
      <w:bodyDiv w:val="1"/>
      <w:marLeft w:val="0"/>
      <w:marRight w:val="0"/>
      <w:marTop w:val="0"/>
      <w:marBottom w:val="0"/>
      <w:divBdr>
        <w:top w:val="none" w:sz="0" w:space="0" w:color="auto"/>
        <w:left w:val="none" w:sz="0" w:space="0" w:color="auto"/>
        <w:bottom w:val="none" w:sz="0" w:space="0" w:color="auto"/>
        <w:right w:val="none" w:sz="0" w:space="0" w:color="auto"/>
      </w:divBdr>
    </w:div>
    <w:div w:id="1235317973">
      <w:bodyDiv w:val="1"/>
      <w:marLeft w:val="0"/>
      <w:marRight w:val="0"/>
      <w:marTop w:val="0"/>
      <w:marBottom w:val="0"/>
      <w:divBdr>
        <w:top w:val="none" w:sz="0" w:space="0" w:color="auto"/>
        <w:left w:val="none" w:sz="0" w:space="0" w:color="auto"/>
        <w:bottom w:val="none" w:sz="0" w:space="0" w:color="auto"/>
        <w:right w:val="none" w:sz="0" w:space="0" w:color="auto"/>
      </w:divBdr>
    </w:div>
    <w:div w:id="1284116831">
      <w:bodyDiv w:val="1"/>
      <w:marLeft w:val="0"/>
      <w:marRight w:val="0"/>
      <w:marTop w:val="0"/>
      <w:marBottom w:val="0"/>
      <w:divBdr>
        <w:top w:val="none" w:sz="0" w:space="0" w:color="auto"/>
        <w:left w:val="none" w:sz="0" w:space="0" w:color="auto"/>
        <w:bottom w:val="none" w:sz="0" w:space="0" w:color="auto"/>
        <w:right w:val="none" w:sz="0" w:space="0" w:color="auto"/>
      </w:divBdr>
    </w:div>
    <w:div w:id="1285233335">
      <w:bodyDiv w:val="1"/>
      <w:marLeft w:val="0"/>
      <w:marRight w:val="0"/>
      <w:marTop w:val="0"/>
      <w:marBottom w:val="0"/>
      <w:divBdr>
        <w:top w:val="none" w:sz="0" w:space="0" w:color="auto"/>
        <w:left w:val="none" w:sz="0" w:space="0" w:color="auto"/>
        <w:bottom w:val="none" w:sz="0" w:space="0" w:color="auto"/>
        <w:right w:val="none" w:sz="0" w:space="0" w:color="auto"/>
      </w:divBdr>
    </w:div>
    <w:div w:id="1293560025">
      <w:bodyDiv w:val="1"/>
      <w:marLeft w:val="0"/>
      <w:marRight w:val="0"/>
      <w:marTop w:val="0"/>
      <w:marBottom w:val="0"/>
      <w:divBdr>
        <w:top w:val="none" w:sz="0" w:space="0" w:color="auto"/>
        <w:left w:val="none" w:sz="0" w:space="0" w:color="auto"/>
        <w:bottom w:val="none" w:sz="0" w:space="0" w:color="auto"/>
        <w:right w:val="none" w:sz="0" w:space="0" w:color="auto"/>
      </w:divBdr>
    </w:div>
    <w:div w:id="1296136951">
      <w:bodyDiv w:val="1"/>
      <w:marLeft w:val="0"/>
      <w:marRight w:val="0"/>
      <w:marTop w:val="0"/>
      <w:marBottom w:val="0"/>
      <w:divBdr>
        <w:top w:val="none" w:sz="0" w:space="0" w:color="auto"/>
        <w:left w:val="none" w:sz="0" w:space="0" w:color="auto"/>
        <w:bottom w:val="none" w:sz="0" w:space="0" w:color="auto"/>
        <w:right w:val="none" w:sz="0" w:space="0" w:color="auto"/>
      </w:divBdr>
    </w:div>
    <w:div w:id="1304041209">
      <w:bodyDiv w:val="1"/>
      <w:marLeft w:val="0"/>
      <w:marRight w:val="0"/>
      <w:marTop w:val="0"/>
      <w:marBottom w:val="0"/>
      <w:divBdr>
        <w:top w:val="none" w:sz="0" w:space="0" w:color="auto"/>
        <w:left w:val="none" w:sz="0" w:space="0" w:color="auto"/>
        <w:bottom w:val="none" w:sz="0" w:space="0" w:color="auto"/>
        <w:right w:val="none" w:sz="0" w:space="0" w:color="auto"/>
      </w:divBdr>
    </w:div>
    <w:div w:id="1310132884">
      <w:bodyDiv w:val="1"/>
      <w:marLeft w:val="0"/>
      <w:marRight w:val="0"/>
      <w:marTop w:val="0"/>
      <w:marBottom w:val="0"/>
      <w:divBdr>
        <w:top w:val="none" w:sz="0" w:space="0" w:color="auto"/>
        <w:left w:val="none" w:sz="0" w:space="0" w:color="auto"/>
        <w:bottom w:val="none" w:sz="0" w:space="0" w:color="auto"/>
        <w:right w:val="none" w:sz="0" w:space="0" w:color="auto"/>
      </w:divBdr>
    </w:div>
    <w:div w:id="1314800488">
      <w:bodyDiv w:val="1"/>
      <w:marLeft w:val="0"/>
      <w:marRight w:val="0"/>
      <w:marTop w:val="0"/>
      <w:marBottom w:val="0"/>
      <w:divBdr>
        <w:top w:val="none" w:sz="0" w:space="0" w:color="auto"/>
        <w:left w:val="none" w:sz="0" w:space="0" w:color="auto"/>
        <w:bottom w:val="none" w:sz="0" w:space="0" w:color="auto"/>
        <w:right w:val="none" w:sz="0" w:space="0" w:color="auto"/>
      </w:divBdr>
    </w:div>
    <w:div w:id="1316836612">
      <w:bodyDiv w:val="1"/>
      <w:marLeft w:val="0"/>
      <w:marRight w:val="0"/>
      <w:marTop w:val="0"/>
      <w:marBottom w:val="0"/>
      <w:divBdr>
        <w:top w:val="none" w:sz="0" w:space="0" w:color="auto"/>
        <w:left w:val="none" w:sz="0" w:space="0" w:color="auto"/>
        <w:bottom w:val="none" w:sz="0" w:space="0" w:color="auto"/>
        <w:right w:val="none" w:sz="0" w:space="0" w:color="auto"/>
      </w:divBdr>
    </w:div>
    <w:div w:id="1342586903">
      <w:bodyDiv w:val="1"/>
      <w:marLeft w:val="0"/>
      <w:marRight w:val="0"/>
      <w:marTop w:val="0"/>
      <w:marBottom w:val="0"/>
      <w:divBdr>
        <w:top w:val="none" w:sz="0" w:space="0" w:color="auto"/>
        <w:left w:val="none" w:sz="0" w:space="0" w:color="auto"/>
        <w:bottom w:val="none" w:sz="0" w:space="0" w:color="auto"/>
        <w:right w:val="none" w:sz="0" w:space="0" w:color="auto"/>
      </w:divBdr>
    </w:div>
    <w:div w:id="1347488554">
      <w:bodyDiv w:val="1"/>
      <w:marLeft w:val="0"/>
      <w:marRight w:val="0"/>
      <w:marTop w:val="0"/>
      <w:marBottom w:val="0"/>
      <w:divBdr>
        <w:top w:val="none" w:sz="0" w:space="0" w:color="auto"/>
        <w:left w:val="none" w:sz="0" w:space="0" w:color="auto"/>
        <w:bottom w:val="none" w:sz="0" w:space="0" w:color="auto"/>
        <w:right w:val="none" w:sz="0" w:space="0" w:color="auto"/>
      </w:divBdr>
    </w:div>
    <w:div w:id="1357542592">
      <w:bodyDiv w:val="1"/>
      <w:marLeft w:val="0"/>
      <w:marRight w:val="0"/>
      <w:marTop w:val="0"/>
      <w:marBottom w:val="0"/>
      <w:divBdr>
        <w:top w:val="none" w:sz="0" w:space="0" w:color="auto"/>
        <w:left w:val="none" w:sz="0" w:space="0" w:color="auto"/>
        <w:bottom w:val="none" w:sz="0" w:space="0" w:color="auto"/>
        <w:right w:val="none" w:sz="0" w:space="0" w:color="auto"/>
      </w:divBdr>
    </w:div>
    <w:div w:id="1358585436">
      <w:bodyDiv w:val="1"/>
      <w:marLeft w:val="0"/>
      <w:marRight w:val="0"/>
      <w:marTop w:val="0"/>
      <w:marBottom w:val="0"/>
      <w:divBdr>
        <w:top w:val="none" w:sz="0" w:space="0" w:color="auto"/>
        <w:left w:val="none" w:sz="0" w:space="0" w:color="auto"/>
        <w:bottom w:val="none" w:sz="0" w:space="0" w:color="auto"/>
        <w:right w:val="none" w:sz="0" w:space="0" w:color="auto"/>
      </w:divBdr>
    </w:div>
    <w:div w:id="1386831724">
      <w:bodyDiv w:val="1"/>
      <w:marLeft w:val="0"/>
      <w:marRight w:val="0"/>
      <w:marTop w:val="0"/>
      <w:marBottom w:val="0"/>
      <w:divBdr>
        <w:top w:val="none" w:sz="0" w:space="0" w:color="auto"/>
        <w:left w:val="none" w:sz="0" w:space="0" w:color="auto"/>
        <w:bottom w:val="none" w:sz="0" w:space="0" w:color="auto"/>
        <w:right w:val="none" w:sz="0" w:space="0" w:color="auto"/>
      </w:divBdr>
    </w:div>
    <w:div w:id="1390958729">
      <w:bodyDiv w:val="1"/>
      <w:marLeft w:val="0"/>
      <w:marRight w:val="0"/>
      <w:marTop w:val="0"/>
      <w:marBottom w:val="0"/>
      <w:divBdr>
        <w:top w:val="none" w:sz="0" w:space="0" w:color="auto"/>
        <w:left w:val="none" w:sz="0" w:space="0" w:color="auto"/>
        <w:bottom w:val="none" w:sz="0" w:space="0" w:color="auto"/>
        <w:right w:val="none" w:sz="0" w:space="0" w:color="auto"/>
      </w:divBdr>
    </w:div>
    <w:div w:id="1393307613">
      <w:bodyDiv w:val="1"/>
      <w:marLeft w:val="0"/>
      <w:marRight w:val="0"/>
      <w:marTop w:val="0"/>
      <w:marBottom w:val="0"/>
      <w:divBdr>
        <w:top w:val="none" w:sz="0" w:space="0" w:color="auto"/>
        <w:left w:val="none" w:sz="0" w:space="0" w:color="auto"/>
        <w:bottom w:val="none" w:sz="0" w:space="0" w:color="auto"/>
        <w:right w:val="none" w:sz="0" w:space="0" w:color="auto"/>
      </w:divBdr>
    </w:div>
    <w:div w:id="1406143438">
      <w:bodyDiv w:val="1"/>
      <w:marLeft w:val="0"/>
      <w:marRight w:val="0"/>
      <w:marTop w:val="0"/>
      <w:marBottom w:val="0"/>
      <w:divBdr>
        <w:top w:val="none" w:sz="0" w:space="0" w:color="auto"/>
        <w:left w:val="none" w:sz="0" w:space="0" w:color="auto"/>
        <w:bottom w:val="none" w:sz="0" w:space="0" w:color="auto"/>
        <w:right w:val="none" w:sz="0" w:space="0" w:color="auto"/>
      </w:divBdr>
    </w:div>
    <w:div w:id="1415009405">
      <w:bodyDiv w:val="1"/>
      <w:marLeft w:val="0"/>
      <w:marRight w:val="0"/>
      <w:marTop w:val="0"/>
      <w:marBottom w:val="0"/>
      <w:divBdr>
        <w:top w:val="none" w:sz="0" w:space="0" w:color="auto"/>
        <w:left w:val="none" w:sz="0" w:space="0" w:color="auto"/>
        <w:bottom w:val="none" w:sz="0" w:space="0" w:color="auto"/>
        <w:right w:val="none" w:sz="0" w:space="0" w:color="auto"/>
      </w:divBdr>
    </w:div>
    <w:div w:id="1420830974">
      <w:bodyDiv w:val="1"/>
      <w:marLeft w:val="0"/>
      <w:marRight w:val="0"/>
      <w:marTop w:val="0"/>
      <w:marBottom w:val="0"/>
      <w:divBdr>
        <w:top w:val="none" w:sz="0" w:space="0" w:color="auto"/>
        <w:left w:val="none" w:sz="0" w:space="0" w:color="auto"/>
        <w:bottom w:val="none" w:sz="0" w:space="0" w:color="auto"/>
        <w:right w:val="none" w:sz="0" w:space="0" w:color="auto"/>
      </w:divBdr>
    </w:div>
    <w:div w:id="1422676803">
      <w:bodyDiv w:val="1"/>
      <w:marLeft w:val="0"/>
      <w:marRight w:val="0"/>
      <w:marTop w:val="0"/>
      <w:marBottom w:val="0"/>
      <w:divBdr>
        <w:top w:val="none" w:sz="0" w:space="0" w:color="auto"/>
        <w:left w:val="none" w:sz="0" w:space="0" w:color="auto"/>
        <w:bottom w:val="none" w:sz="0" w:space="0" w:color="auto"/>
        <w:right w:val="none" w:sz="0" w:space="0" w:color="auto"/>
      </w:divBdr>
    </w:div>
    <w:div w:id="1439181603">
      <w:bodyDiv w:val="1"/>
      <w:marLeft w:val="0"/>
      <w:marRight w:val="0"/>
      <w:marTop w:val="0"/>
      <w:marBottom w:val="0"/>
      <w:divBdr>
        <w:top w:val="none" w:sz="0" w:space="0" w:color="auto"/>
        <w:left w:val="none" w:sz="0" w:space="0" w:color="auto"/>
        <w:bottom w:val="none" w:sz="0" w:space="0" w:color="auto"/>
        <w:right w:val="none" w:sz="0" w:space="0" w:color="auto"/>
      </w:divBdr>
    </w:div>
    <w:div w:id="1450667407">
      <w:bodyDiv w:val="1"/>
      <w:marLeft w:val="0"/>
      <w:marRight w:val="0"/>
      <w:marTop w:val="0"/>
      <w:marBottom w:val="0"/>
      <w:divBdr>
        <w:top w:val="none" w:sz="0" w:space="0" w:color="auto"/>
        <w:left w:val="none" w:sz="0" w:space="0" w:color="auto"/>
        <w:bottom w:val="none" w:sz="0" w:space="0" w:color="auto"/>
        <w:right w:val="none" w:sz="0" w:space="0" w:color="auto"/>
      </w:divBdr>
    </w:div>
    <w:div w:id="1456633659">
      <w:bodyDiv w:val="1"/>
      <w:marLeft w:val="0"/>
      <w:marRight w:val="0"/>
      <w:marTop w:val="0"/>
      <w:marBottom w:val="0"/>
      <w:divBdr>
        <w:top w:val="none" w:sz="0" w:space="0" w:color="auto"/>
        <w:left w:val="none" w:sz="0" w:space="0" w:color="auto"/>
        <w:bottom w:val="none" w:sz="0" w:space="0" w:color="auto"/>
        <w:right w:val="none" w:sz="0" w:space="0" w:color="auto"/>
      </w:divBdr>
    </w:div>
    <w:div w:id="1478959169">
      <w:bodyDiv w:val="1"/>
      <w:marLeft w:val="0"/>
      <w:marRight w:val="0"/>
      <w:marTop w:val="0"/>
      <w:marBottom w:val="0"/>
      <w:divBdr>
        <w:top w:val="none" w:sz="0" w:space="0" w:color="auto"/>
        <w:left w:val="none" w:sz="0" w:space="0" w:color="auto"/>
        <w:bottom w:val="none" w:sz="0" w:space="0" w:color="auto"/>
        <w:right w:val="none" w:sz="0" w:space="0" w:color="auto"/>
      </w:divBdr>
    </w:div>
    <w:div w:id="1485589587">
      <w:bodyDiv w:val="1"/>
      <w:marLeft w:val="0"/>
      <w:marRight w:val="0"/>
      <w:marTop w:val="0"/>
      <w:marBottom w:val="0"/>
      <w:divBdr>
        <w:top w:val="none" w:sz="0" w:space="0" w:color="auto"/>
        <w:left w:val="none" w:sz="0" w:space="0" w:color="auto"/>
        <w:bottom w:val="none" w:sz="0" w:space="0" w:color="auto"/>
        <w:right w:val="none" w:sz="0" w:space="0" w:color="auto"/>
      </w:divBdr>
    </w:div>
    <w:div w:id="1491561317">
      <w:bodyDiv w:val="1"/>
      <w:marLeft w:val="0"/>
      <w:marRight w:val="0"/>
      <w:marTop w:val="0"/>
      <w:marBottom w:val="0"/>
      <w:divBdr>
        <w:top w:val="none" w:sz="0" w:space="0" w:color="auto"/>
        <w:left w:val="none" w:sz="0" w:space="0" w:color="auto"/>
        <w:bottom w:val="none" w:sz="0" w:space="0" w:color="auto"/>
        <w:right w:val="none" w:sz="0" w:space="0" w:color="auto"/>
      </w:divBdr>
    </w:div>
    <w:div w:id="1493716498">
      <w:bodyDiv w:val="1"/>
      <w:marLeft w:val="0"/>
      <w:marRight w:val="0"/>
      <w:marTop w:val="0"/>
      <w:marBottom w:val="0"/>
      <w:divBdr>
        <w:top w:val="none" w:sz="0" w:space="0" w:color="auto"/>
        <w:left w:val="none" w:sz="0" w:space="0" w:color="auto"/>
        <w:bottom w:val="none" w:sz="0" w:space="0" w:color="auto"/>
        <w:right w:val="none" w:sz="0" w:space="0" w:color="auto"/>
      </w:divBdr>
    </w:div>
    <w:div w:id="1493718919">
      <w:bodyDiv w:val="1"/>
      <w:marLeft w:val="0"/>
      <w:marRight w:val="0"/>
      <w:marTop w:val="0"/>
      <w:marBottom w:val="0"/>
      <w:divBdr>
        <w:top w:val="none" w:sz="0" w:space="0" w:color="auto"/>
        <w:left w:val="none" w:sz="0" w:space="0" w:color="auto"/>
        <w:bottom w:val="none" w:sz="0" w:space="0" w:color="auto"/>
        <w:right w:val="none" w:sz="0" w:space="0" w:color="auto"/>
      </w:divBdr>
    </w:div>
    <w:div w:id="1502502666">
      <w:bodyDiv w:val="1"/>
      <w:marLeft w:val="0"/>
      <w:marRight w:val="0"/>
      <w:marTop w:val="0"/>
      <w:marBottom w:val="0"/>
      <w:divBdr>
        <w:top w:val="none" w:sz="0" w:space="0" w:color="auto"/>
        <w:left w:val="none" w:sz="0" w:space="0" w:color="auto"/>
        <w:bottom w:val="none" w:sz="0" w:space="0" w:color="auto"/>
        <w:right w:val="none" w:sz="0" w:space="0" w:color="auto"/>
      </w:divBdr>
    </w:div>
    <w:div w:id="1506440874">
      <w:bodyDiv w:val="1"/>
      <w:marLeft w:val="0"/>
      <w:marRight w:val="0"/>
      <w:marTop w:val="0"/>
      <w:marBottom w:val="0"/>
      <w:divBdr>
        <w:top w:val="none" w:sz="0" w:space="0" w:color="auto"/>
        <w:left w:val="none" w:sz="0" w:space="0" w:color="auto"/>
        <w:bottom w:val="none" w:sz="0" w:space="0" w:color="auto"/>
        <w:right w:val="none" w:sz="0" w:space="0" w:color="auto"/>
      </w:divBdr>
    </w:div>
    <w:div w:id="1514107397">
      <w:bodyDiv w:val="1"/>
      <w:marLeft w:val="0"/>
      <w:marRight w:val="0"/>
      <w:marTop w:val="0"/>
      <w:marBottom w:val="0"/>
      <w:divBdr>
        <w:top w:val="none" w:sz="0" w:space="0" w:color="auto"/>
        <w:left w:val="none" w:sz="0" w:space="0" w:color="auto"/>
        <w:bottom w:val="none" w:sz="0" w:space="0" w:color="auto"/>
        <w:right w:val="none" w:sz="0" w:space="0" w:color="auto"/>
      </w:divBdr>
    </w:div>
    <w:div w:id="1520702305">
      <w:bodyDiv w:val="1"/>
      <w:marLeft w:val="0"/>
      <w:marRight w:val="0"/>
      <w:marTop w:val="0"/>
      <w:marBottom w:val="0"/>
      <w:divBdr>
        <w:top w:val="none" w:sz="0" w:space="0" w:color="auto"/>
        <w:left w:val="none" w:sz="0" w:space="0" w:color="auto"/>
        <w:bottom w:val="none" w:sz="0" w:space="0" w:color="auto"/>
        <w:right w:val="none" w:sz="0" w:space="0" w:color="auto"/>
      </w:divBdr>
    </w:div>
    <w:div w:id="1524709294">
      <w:bodyDiv w:val="1"/>
      <w:marLeft w:val="0"/>
      <w:marRight w:val="0"/>
      <w:marTop w:val="0"/>
      <w:marBottom w:val="0"/>
      <w:divBdr>
        <w:top w:val="none" w:sz="0" w:space="0" w:color="auto"/>
        <w:left w:val="none" w:sz="0" w:space="0" w:color="auto"/>
        <w:bottom w:val="none" w:sz="0" w:space="0" w:color="auto"/>
        <w:right w:val="none" w:sz="0" w:space="0" w:color="auto"/>
      </w:divBdr>
    </w:div>
    <w:div w:id="1544900319">
      <w:bodyDiv w:val="1"/>
      <w:marLeft w:val="0"/>
      <w:marRight w:val="0"/>
      <w:marTop w:val="0"/>
      <w:marBottom w:val="0"/>
      <w:divBdr>
        <w:top w:val="none" w:sz="0" w:space="0" w:color="auto"/>
        <w:left w:val="none" w:sz="0" w:space="0" w:color="auto"/>
        <w:bottom w:val="none" w:sz="0" w:space="0" w:color="auto"/>
        <w:right w:val="none" w:sz="0" w:space="0" w:color="auto"/>
      </w:divBdr>
    </w:div>
    <w:div w:id="1547597455">
      <w:bodyDiv w:val="1"/>
      <w:marLeft w:val="0"/>
      <w:marRight w:val="0"/>
      <w:marTop w:val="0"/>
      <w:marBottom w:val="0"/>
      <w:divBdr>
        <w:top w:val="none" w:sz="0" w:space="0" w:color="auto"/>
        <w:left w:val="none" w:sz="0" w:space="0" w:color="auto"/>
        <w:bottom w:val="none" w:sz="0" w:space="0" w:color="auto"/>
        <w:right w:val="none" w:sz="0" w:space="0" w:color="auto"/>
      </w:divBdr>
    </w:div>
    <w:div w:id="1560897453">
      <w:bodyDiv w:val="1"/>
      <w:marLeft w:val="0"/>
      <w:marRight w:val="0"/>
      <w:marTop w:val="0"/>
      <w:marBottom w:val="0"/>
      <w:divBdr>
        <w:top w:val="none" w:sz="0" w:space="0" w:color="auto"/>
        <w:left w:val="none" w:sz="0" w:space="0" w:color="auto"/>
        <w:bottom w:val="none" w:sz="0" w:space="0" w:color="auto"/>
        <w:right w:val="none" w:sz="0" w:space="0" w:color="auto"/>
      </w:divBdr>
    </w:div>
    <w:div w:id="1589462630">
      <w:bodyDiv w:val="1"/>
      <w:marLeft w:val="0"/>
      <w:marRight w:val="0"/>
      <w:marTop w:val="0"/>
      <w:marBottom w:val="0"/>
      <w:divBdr>
        <w:top w:val="none" w:sz="0" w:space="0" w:color="auto"/>
        <w:left w:val="none" w:sz="0" w:space="0" w:color="auto"/>
        <w:bottom w:val="none" w:sz="0" w:space="0" w:color="auto"/>
        <w:right w:val="none" w:sz="0" w:space="0" w:color="auto"/>
      </w:divBdr>
    </w:div>
    <w:div w:id="1590777190">
      <w:bodyDiv w:val="1"/>
      <w:marLeft w:val="0"/>
      <w:marRight w:val="0"/>
      <w:marTop w:val="0"/>
      <w:marBottom w:val="0"/>
      <w:divBdr>
        <w:top w:val="none" w:sz="0" w:space="0" w:color="auto"/>
        <w:left w:val="none" w:sz="0" w:space="0" w:color="auto"/>
        <w:bottom w:val="none" w:sz="0" w:space="0" w:color="auto"/>
        <w:right w:val="none" w:sz="0" w:space="0" w:color="auto"/>
      </w:divBdr>
    </w:div>
    <w:div w:id="1591432011">
      <w:bodyDiv w:val="1"/>
      <w:marLeft w:val="0"/>
      <w:marRight w:val="0"/>
      <w:marTop w:val="0"/>
      <w:marBottom w:val="0"/>
      <w:divBdr>
        <w:top w:val="none" w:sz="0" w:space="0" w:color="auto"/>
        <w:left w:val="none" w:sz="0" w:space="0" w:color="auto"/>
        <w:bottom w:val="none" w:sz="0" w:space="0" w:color="auto"/>
        <w:right w:val="none" w:sz="0" w:space="0" w:color="auto"/>
      </w:divBdr>
    </w:div>
    <w:div w:id="1610702861">
      <w:bodyDiv w:val="1"/>
      <w:marLeft w:val="0"/>
      <w:marRight w:val="0"/>
      <w:marTop w:val="0"/>
      <w:marBottom w:val="0"/>
      <w:divBdr>
        <w:top w:val="none" w:sz="0" w:space="0" w:color="auto"/>
        <w:left w:val="none" w:sz="0" w:space="0" w:color="auto"/>
        <w:bottom w:val="none" w:sz="0" w:space="0" w:color="auto"/>
        <w:right w:val="none" w:sz="0" w:space="0" w:color="auto"/>
      </w:divBdr>
    </w:div>
    <w:div w:id="1628968014">
      <w:bodyDiv w:val="1"/>
      <w:marLeft w:val="0"/>
      <w:marRight w:val="0"/>
      <w:marTop w:val="0"/>
      <w:marBottom w:val="0"/>
      <w:divBdr>
        <w:top w:val="none" w:sz="0" w:space="0" w:color="auto"/>
        <w:left w:val="none" w:sz="0" w:space="0" w:color="auto"/>
        <w:bottom w:val="none" w:sz="0" w:space="0" w:color="auto"/>
        <w:right w:val="none" w:sz="0" w:space="0" w:color="auto"/>
      </w:divBdr>
    </w:div>
    <w:div w:id="1629118588">
      <w:bodyDiv w:val="1"/>
      <w:marLeft w:val="0"/>
      <w:marRight w:val="0"/>
      <w:marTop w:val="0"/>
      <w:marBottom w:val="0"/>
      <w:divBdr>
        <w:top w:val="none" w:sz="0" w:space="0" w:color="auto"/>
        <w:left w:val="none" w:sz="0" w:space="0" w:color="auto"/>
        <w:bottom w:val="none" w:sz="0" w:space="0" w:color="auto"/>
        <w:right w:val="none" w:sz="0" w:space="0" w:color="auto"/>
      </w:divBdr>
    </w:div>
    <w:div w:id="1631591307">
      <w:bodyDiv w:val="1"/>
      <w:marLeft w:val="0"/>
      <w:marRight w:val="0"/>
      <w:marTop w:val="0"/>
      <w:marBottom w:val="0"/>
      <w:divBdr>
        <w:top w:val="none" w:sz="0" w:space="0" w:color="auto"/>
        <w:left w:val="none" w:sz="0" w:space="0" w:color="auto"/>
        <w:bottom w:val="none" w:sz="0" w:space="0" w:color="auto"/>
        <w:right w:val="none" w:sz="0" w:space="0" w:color="auto"/>
      </w:divBdr>
    </w:div>
    <w:div w:id="1635213041">
      <w:bodyDiv w:val="1"/>
      <w:marLeft w:val="0"/>
      <w:marRight w:val="0"/>
      <w:marTop w:val="0"/>
      <w:marBottom w:val="0"/>
      <w:divBdr>
        <w:top w:val="none" w:sz="0" w:space="0" w:color="auto"/>
        <w:left w:val="none" w:sz="0" w:space="0" w:color="auto"/>
        <w:bottom w:val="none" w:sz="0" w:space="0" w:color="auto"/>
        <w:right w:val="none" w:sz="0" w:space="0" w:color="auto"/>
      </w:divBdr>
    </w:div>
    <w:div w:id="1660038452">
      <w:bodyDiv w:val="1"/>
      <w:marLeft w:val="0"/>
      <w:marRight w:val="0"/>
      <w:marTop w:val="0"/>
      <w:marBottom w:val="0"/>
      <w:divBdr>
        <w:top w:val="none" w:sz="0" w:space="0" w:color="auto"/>
        <w:left w:val="none" w:sz="0" w:space="0" w:color="auto"/>
        <w:bottom w:val="none" w:sz="0" w:space="0" w:color="auto"/>
        <w:right w:val="none" w:sz="0" w:space="0" w:color="auto"/>
      </w:divBdr>
    </w:div>
    <w:div w:id="1664508706">
      <w:bodyDiv w:val="1"/>
      <w:marLeft w:val="0"/>
      <w:marRight w:val="0"/>
      <w:marTop w:val="0"/>
      <w:marBottom w:val="0"/>
      <w:divBdr>
        <w:top w:val="none" w:sz="0" w:space="0" w:color="auto"/>
        <w:left w:val="none" w:sz="0" w:space="0" w:color="auto"/>
        <w:bottom w:val="none" w:sz="0" w:space="0" w:color="auto"/>
        <w:right w:val="none" w:sz="0" w:space="0" w:color="auto"/>
      </w:divBdr>
    </w:div>
    <w:div w:id="1688798479">
      <w:bodyDiv w:val="1"/>
      <w:marLeft w:val="0"/>
      <w:marRight w:val="0"/>
      <w:marTop w:val="0"/>
      <w:marBottom w:val="0"/>
      <w:divBdr>
        <w:top w:val="none" w:sz="0" w:space="0" w:color="auto"/>
        <w:left w:val="none" w:sz="0" w:space="0" w:color="auto"/>
        <w:bottom w:val="none" w:sz="0" w:space="0" w:color="auto"/>
        <w:right w:val="none" w:sz="0" w:space="0" w:color="auto"/>
      </w:divBdr>
    </w:div>
    <w:div w:id="1697537141">
      <w:bodyDiv w:val="1"/>
      <w:marLeft w:val="0"/>
      <w:marRight w:val="0"/>
      <w:marTop w:val="0"/>
      <w:marBottom w:val="0"/>
      <w:divBdr>
        <w:top w:val="none" w:sz="0" w:space="0" w:color="auto"/>
        <w:left w:val="none" w:sz="0" w:space="0" w:color="auto"/>
        <w:bottom w:val="none" w:sz="0" w:space="0" w:color="auto"/>
        <w:right w:val="none" w:sz="0" w:space="0" w:color="auto"/>
      </w:divBdr>
    </w:div>
    <w:div w:id="1716664003">
      <w:bodyDiv w:val="1"/>
      <w:marLeft w:val="0"/>
      <w:marRight w:val="0"/>
      <w:marTop w:val="0"/>
      <w:marBottom w:val="0"/>
      <w:divBdr>
        <w:top w:val="none" w:sz="0" w:space="0" w:color="auto"/>
        <w:left w:val="none" w:sz="0" w:space="0" w:color="auto"/>
        <w:bottom w:val="none" w:sz="0" w:space="0" w:color="auto"/>
        <w:right w:val="none" w:sz="0" w:space="0" w:color="auto"/>
      </w:divBdr>
    </w:div>
    <w:div w:id="1742478914">
      <w:bodyDiv w:val="1"/>
      <w:marLeft w:val="0"/>
      <w:marRight w:val="0"/>
      <w:marTop w:val="0"/>
      <w:marBottom w:val="0"/>
      <w:divBdr>
        <w:top w:val="none" w:sz="0" w:space="0" w:color="auto"/>
        <w:left w:val="none" w:sz="0" w:space="0" w:color="auto"/>
        <w:bottom w:val="none" w:sz="0" w:space="0" w:color="auto"/>
        <w:right w:val="none" w:sz="0" w:space="0" w:color="auto"/>
      </w:divBdr>
    </w:div>
    <w:div w:id="1744260764">
      <w:bodyDiv w:val="1"/>
      <w:marLeft w:val="0"/>
      <w:marRight w:val="0"/>
      <w:marTop w:val="0"/>
      <w:marBottom w:val="0"/>
      <w:divBdr>
        <w:top w:val="none" w:sz="0" w:space="0" w:color="auto"/>
        <w:left w:val="none" w:sz="0" w:space="0" w:color="auto"/>
        <w:bottom w:val="none" w:sz="0" w:space="0" w:color="auto"/>
        <w:right w:val="none" w:sz="0" w:space="0" w:color="auto"/>
      </w:divBdr>
    </w:div>
    <w:div w:id="1748920103">
      <w:bodyDiv w:val="1"/>
      <w:marLeft w:val="0"/>
      <w:marRight w:val="0"/>
      <w:marTop w:val="0"/>
      <w:marBottom w:val="0"/>
      <w:divBdr>
        <w:top w:val="none" w:sz="0" w:space="0" w:color="auto"/>
        <w:left w:val="none" w:sz="0" w:space="0" w:color="auto"/>
        <w:bottom w:val="none" w:sz="0" w:space="0" w:color="auto"/>
        <w:right w:val="none" w:sz="0" w:space="0" w:color="auto"/>
      </w:divBdr>
    </w:div>
    <w:div w:id="1754862220">
      <w:bodyDiv w:val="1"/>
      <w:marLeft w:val="0"/>
      <w:marRight w:val="0"/>
      <w:marTop w:val="0"/>
      <w:marBottom w:val="0"/>
      <w:divBdr>
        <w:top w:val="none" w:sz="0" w:space="0" w:color="auto"/>
        <w:left w:val="none" w:sz="0" w:space="0" w:color="auto"/>
        <w:bottom w:val="none" w:sz="0" w:space="0" w:color="auto"/>
        <w:right w:val="none" w:sz="0" w:space="0" w:color="auto"/>
      </w:divBdr>
    </w:div>
    <w:div w:id="1759711511">
      <w:bodyDiv w:val="1"/>
      <w:marLeft w:val="0"/>
      <w:marRight w:val="0"/>
      <w:marTop w:val="0"/>
      <w:marBottom w:val="0"/>
      <w:divBdr>
        <w:top w:val="none" w:sz="0" w:space="0" w:color="auto"/>
        <w:left w:val="none" w:sz="0" w:space="0" w:color="auto"/>
        <w:bottom w:val="none" w:sz="0" w:space="0" w:color="auto"/>
        <w:right w:val="none" w:sz="0" w:space="0" w:color="auto"/>
      </w:divBdr>
    </w:div>
    <w:div w:id="1819027858">
      <w:bodyDiv w:val="1"/>
      <w:marLeft w:val="0"/>
      <w:marRight w:val="0"/>
      <w:marTop w:val="0"/>
      <w:marBottom w:val="0"/>
      <w:divBdr>
        <w:top w:val="none" w:sz="0" w:space="0" w:color="auto"/>
        <w:left w:val="none" w:sz="0" w:space="0" w:color="auto"/>
        <w:bottom w:val="none" w:sz="0" w:space="0" w:color="auto"/>
        <w:right w:val="none" w:sz="0" w:space="0" w:color="auto"/>
      </w:divBdr>
    </w:div>
    <w:div w:id="1821145749">
      <w:bodyDiv w:val="1"/>
      <w:marLeft w:val="0"/>
      <w:marRight w:val="0"/>
      <w:marTop w:val="0"/>
      <w:marBottom w:val="0"/>
      <w:divBdr>
        <w:top w:val="none" w:sz="0" w:space="0" w:color="auto"/>
        <w:left w:val="none" w:sz="0" w:space="0" w:color="auto"/>
        <w:bottom w:val="none" w:sz="0" w:space="0" w:color="auto"/>
        <w:right w:val="none" w:sz="0" w:space="0" w:color="auto"/>
      </w:divBdr>
    </w:div>
    <w:div w:id="1831363972">
      <w:bodyDiv w:val="1"/>
      <w:marLeft w:val="0"/>
      <w:marRight w:val="0"/>
      <w:marTop w:val="0"/>
      <w:marBottom w:val="0"/>
      <w:divBdr>
        <w:top w:val="none" w:sz="0" w:space="0" w:color="auto"/>
        <w:left w:val="none" w:sz="0" w:space="0" w:color="auto"/>
        <w:bottom w:val="none" w:sz="0" w:space="0" w:color="auto"/>
        <w:right w:val="none" w:sz="0" w:space="0" w:color="auto"/>
      </w:divBdr>
    </w:div>
    <w:div w:id="1838840266">
      <w:bodyDiv w:val="1"/>
      <w:marLeft w:val="0"/>
      <w:marRight w:val="0"/>
      <w:marTop w:val="0"/>
      <w:marBottom w:val="0"/>
      <w:divBdr>
        <w:top w:val="none" w:sz="0" w:space="0" w:color="auto"/>
        <w:left w:val="none" w:sz="0" w:space="0" w:color="auto"/>
        <w:bottom w:val="none" w:sz="0" w:space="0" w:color="auto"/>
        <w:right w:val="none" w:sz="0" w:space="0" w:color="auto"/>
      </w:divBdr>
    </w:div>
    <w:div w:id="1841502462">
      <w:bodyDiv w:val="1"/>
      <w:marLeft w:val="0"/>
      <w:marRight w:val="0"/>
      <w:marTop w:val="0"/>
      <w:marBottom w:val="0"/>
      <w:divBdr>
        <w:top w:val="none" w:sz="0" w:space="0" w:color="auto"/>
        <w:left w:val="none" w:sz="0" w:space="0" w:color="auto"/>
        <w:bottom w:val="none" w:sz="0" w:space="0" w:color="auto"/>
        <w:right w:val="none" w:sz="0" w:space="0" w:color="auto"/>
      </w:divBdr>
    </w:div>
    <w:div w:id="1845240573">
      <w:bodyDiv w:val="1"/>
      <w:marLeft w:val="0"/>
      <w:marRight w:val="0"/>
      <w:marTop w:val="0"/>
      <w:marBottom w:val="0"/>
      <w:divBdr>
        <w:top w:val="none" w:sz="0" w:space="0" w:color="auto"/>
        <w:left w:val="none" w:sz="0" w:space="0" w:color="auto"/>
        <w:bottom w:val="none" w:sz="0" w:space="0" w:color="auto"/>
        <w:right w:val="none" w:sz="0" w:space="0" w:color="auto"/>
      </w:divBdr>
    </w:div>
    <w:div w:id="1847206706">
      <w:bodyDiv w:val="1"/>
      <w:marLeft w:val="0"/>
      <w:marRight w:val="0"/>
      <w:marTop w:val="0"/>
      <w:marBottom w:val="0"/>
      <w:divBdr>
        <w:top w:val="none" w:sz="0" w:space="0" w:color="auto"/>
        <w:left w:val="none" w:sz="0" w:space="0" w:color="auto"/>
        <w:bottom w:val="none" w:sz="0" w:space="0" w:color="auto"/>
        <w:right w:val="none" w:sz="0" w:space="0" w:color="auto"/>
      </w:divBdr>
    </w:div>
    <w:div w:id="1849826695">
      <w:bodyDiv w:val="1"/>
      <w:marLeft w:val="0"/>
      <w:marRight w:val="0"/>
      <w:marTop w:val="0"/>
      <w:marBottom w:val="0"/>
      <w:divBdr>
        <w:top w:val="none" w:sz="0" w:space="0" w:color="auto"/>
        <w:left w:val="none" w:sz="0" w:space="0" w:color="auto"/>
        <w:bottom w:val="none" w:sz="0" w:space="0" w:color="auto"/>
        <w:right w:val="none" w:sz="0" w:space="0" w:color="auto"/>
      </w:divBdr>
    </w:div>
    <w:div w:id="1857423770">
      <w:bodyDiv w:val="1"/>
      <w:marLeft w:val="0"/>
      <w:marRight w:val="0"/>
      <w:marTop w:val="0"/>
      <w:marBottom w:val="0"/>
      <w:divBdr>
        <w:top w:val="none" w:sz="0" w:space="0" w:color="auto"/>
        <w:left w:val="none" w:sz="0" w:space="0" w:color="auto"/>
        <w:bottom w:val="none" w:sz="0" w:space="0" w:color="auto"/>
        <w:right w:val="none" w:sz="0" w:space="0" w:color="auto"/>
      </w:divBdr>
    </w:div>
    <w:div w:id="1866360039">
      <w:bodyDiv w:val="1"/>
      <w:marLeft w:val="0"/>
      <w:marRight w:val="0"/>
      <w:marTop w:val="0"/>
      <w:marBottom w:val="0"/>
      <w:divBdr>
        <w:top w:val="none" w:sz="0" w:space="0" w:color="auto"/>
        <w:left w:val="none" w:sz="0" w:space="0" w:color="auto"/>
        <w:bottom w:val="none" w:sz="0" w:space="0" w:color="auto"/>
        <w:right w:val="none" w:sz="0" w:space="0" w:color="auto"/>
      </w:divBdr>
    </w:div>
    <w:div w:id="1866479528">
      <w:bodyDiv w:val="1"/>
      <w:marLeft w:val="0"/>
      <w:marRight w:val="0"/>
      <w:marTop w:val="0"/>
      <w:marBottom w:val="0"/>
      <w:divBdr>
        <w:top w:val="none" w:sz="0" w:space="0" w:color="auto"/>
        <w:left w:val="none" w:sz="0" w:space="0" w:color="auto"/>
        <w:bottom w:val="none" w:sz="0" w:space="0" w:color="auto"/>
        <w:right w:val="none" w:sz="0" w:space="0" w:color="auto"/>
      </w:divBdr>
    </w:div>
    <w:div w:id="1880049045">
      <w:bodyDiv w:val="1"/>
      <w:marLeft w:val="0"/>
      <w:marRight w:val="0"/>
      <w:marTop w:val="0"/>
      <w:marBottom w:val="0"/>
      <w:divBdr>
        <w:top w:val="none" w:sz="0" w:space="0" w:color="auto"/>
        <w:left w:val="none" w:sz="0" w:space="0" w:color="auto"/>
        <w:bottom w:val="none" w:sz="0" w:space="0" w:color="auto"/>
        <w:right w:val="none" w:sz="0" w:space="0" w:color="auto"/>
      </w:divBdr>
    </w:div>
    <w:div w:id="1888907131">
      <w:bodyDiv w:val="1"/>
      <w:marLeft w:val="0"/>
      <w:marRight w:val="0"/>
      <w:marTop w:val="0"/>
      <w:marBottom w:val="0"/>
      <w:divBdr>
        <w:top w:val="none" w:sz="0" w:space="0" w:color="auto"/>
        <w:left w:val="none" w:sz="0" w:space="0" w:color="auto"/>
        <w:bottom w:val="none" w:sz="0" w:space="0" w:color="auto"/>
        <w:right w:val="none" w:sz="0" w:space="0" w:color="auto"/>
      </w:divBdr>
    </w:div>
    <w:div w:id="1892109832">
      <w:bodyDiv w:val="1"/>
      <w:marLeft w:val="0"/>
      <w:marRight w:val="0"/>
      <w:marTop w:val="0"/>
      <w:marBottom w:val="0"/>
      <w:divBdr>
        <w:top w:val="none" w:sz="0" w:space="0" w:color="auto"/>
        <w:left w:val="none" w:sz="0" w:space="0" w:color="auto"/>
        <w:bottom w:val="none" w:sz="0" w:space="0" w:color="auto"/>
        <w:right w:val="none" w:sz="0" w:space="0" w:color="auto"/>
      </w:divBdr>
    </w:div>
    <w:div w:id="1895500751">
      <w:bodyDiv w:val="1"/>
      <w:marLeft w:val="0"/>
      <w:marRight w:val="0"/>
      <w:marTop w:val="0"/>
      <w:marBottom w:val="0"/>
      <w:divBdr>
        <w:top w:val="none" w:sz="0" w:space="0" w:color="auto"/>
        <w:left w:val="none" w:sz="0" w:space="0" w:color="auto"/>
        <w:bottom w:val="none" w:sz="0" w:space="0" w:color="auto"/>
        <w:right w:val="none" w:sz="0" w:space="0" w:color="auto"/>
      </w:divBdr>
    </w:div>
    <w:div w:id="1896088263">
      <w:bodyDiv w:val="1"/>
      <w:marLeft w:val="0"/>
      <w:marRight w:val="0"/>
      <w:marTop w:val="0"/>
      <w:marBottom w:val="0"/>
      <w:divBdr>
        <w:top w:val="none" w:sz="0" w:space="0" w:color="auto"/>
        <w:left w:val="none" w:sz="0" w:space="0" w:color="auto"/>
        <w:bottom w:val="none" w:sz="0" w:space="0" w:color="auto"/>
        <w:right w:val="none" w:sz="0" w:space="0" w:color="auto"/>
      </w:divBdr>
    </w:div>
    <w:div w:id="1898514494">
      <w:bodyDiv w:val="1"/>
      <w:marLeft w:val="0"/>
      <w:marRight w:val="0"/>
      <w:marTop w:val="0"/>
      <w:marBottom w:val="0"/>
      <w:divBdr>
        <w:top w:val="none" w:sz="0" w:space="0" w:color="auto"/>
        <w:left w:val="none" w:sz="0" w:space="0" w:color="auto"/>
        <w:bottom w:val="none" w:sz="0" w:space="0" w:color="auto"/>
        <w:right w:val="none" w:sz="0" w:space="0" w:color="auto"/>
      </w:divBdr>
    </w:div>
    <w:div w:id="1907254289">
      <w:bodyDiv w:val="1"/>
      <w:marLeft w:val="0"/>
      <w:marRight w:val="0"/>
      <w:marTop w:val="0"/>
      <w:marBottom w:val="0"/>
      <w:divBdr>
        <w:top w:val="none" w:sz="0" w:space="0" w:color="auto"/>
        <w:left w:val="none" w:sz="0" w:space="0" w:color="auto"/>
        <w:bottom w:val="none" w:sz="0" w:space="0" w:color="auto"/>
        <w:right w:val="none" w:sz="0" w:space="0" w:color="auto"/>
      </w:divBdr>
    </w:div>
    <w:div w:id="1927228325">
      <w:bodyDiv w:val="1"/>
      <w:marLeft w:val="0"/>
      <w:marRight w:val="0"/>
      <w:marTop w:val="0"/>
      <w:marBottom w:val="0"/>
      <w:divBdr>
        <w:top w:val="none" w:sz="0" w:space="0" w:color="auto"/>
        <w:left w:val="none" w:sz="0" w:space="0" w:color="auto"/>
        <w:bottom w:val="none" w:sz="0" w:space="0" w:color="auto"/>
        <w:right w:val="none" w:sz="0" w:space="0" w:color="auto"/>
      </w:divBdr>
    </w:div>
    <w:div w:id="1937324353">
      <w:bodyDiv w:val="1"/>
      <w:marLeft w:val="0"/>
      <w:marRight w:val="0"/>
      <w:marTop w:val="0"/>
      <w:marBottom w:val="0"/>
      <w:divBdr>
        <w:top w:val="none" w:sz="0" w:space="0" w:color="auto"/>
        <w:left w:val="none" w:sz="0" w:space="0" w:color="auto"/>
        <w:bottom w:val="none" w:sz="0" w:space="0" w:color="auto"/>
        <w:right w:val="none" w:sz="0" w:space="0" w:color="auto"/>
      </w:divBdr>
      <w:divsChild>
        <w:div w:id="259530839">
          <w:marLeft w:val="0"/>
          <w:marRight w:val="0"/>
          <w:marTop w:val="0"/>
          <w:marBottom w:val="0"/>
          <w:divBdr>
            <w:top w:val="none" w:sz="0" w:space="0" w:color="auto"/>
            <w:left w:val="none" w:sz="0" w:space="0" w:color="auto"/>
            <w:bottom w:val="none" w:sz="0" w:space="0" w:color="auto"/>
            <w:right w:val="none" w:sz="0" w:space="0" w:color="auto"/>
          </w:divBdr>
        </w:div>
        <w:div w:id="594825509">
          <w:marLeft w:val="0"/>
          <w:marRight w:val="0"/>
          <w:marTop w:val="0"/>
          <w:marBottom w:val="0"/>
          <w:divBdr>
            <w:top w:val="none" w:sz="0" w:space="0" w:color="auto"/>
            <w:left w:val="none" w:sz="0" w:space="0" w:color="auto"/>
            <w:bottom w:val="none" w:sz="0" w:space="0" w:color="auto"/>
            <w:right w:val="none" w:sz="0" w:space="0" w:color="auto"/>
          </w:divBdr>
        </w:div>
        <w:div w:id="595405443">
          <w:marLeft w:val="0"/>
          <w:marRight w:val="0"/>
          <w:marTop w:val="0"/>
          <w:marBottom w:val="0"/>
          <w:divBdr>
            <w:top w:val="none" w:sz="0" w:space="0" w:color="auto"/>
            <w:left w:val="none" w:sz="0" w:space="0" w:color="auto"/>
            <w:bottom w:val="none" w:sz="0" w:space="0" w:color="auto"/>
            <w:right w:val="none" w:sz="0" w:space="0" w:color="auto"/>
          </w:divBdr>
        </w:div>
        <w:div w:id="744424791">
          <w:marLeft w:val="0"/>
          <w:marRight w:val="0"/>
          <w:marTop w:val="0"/>
          <w:marBottom w:val="0"/>
          <w:divBdr>
            <w:top w:val="none" w:sz="0" w:space="0" w:color="auto"/>
            <w:left w:val="none" w:sz="0" w:space="0" w:color="auto"/>
            <w:bottom w:val="none" w:sz="0" w:space="0" w:color="auto"/>
            <w:right w:val="none" w:sz="0" w:space="0" w:color="auto"/>
          </w:divBdr>
        </w:div>
        <w:div w:id="1513258054">
          <w:marLeft w:val="0"/>
          <w:marRight w:val="0"/>
          <w:marTop w:val="0"/>
          <w:marBottom w:val="0"/>
          <w:divBdr>
            <w:top w:val="none" w:sz="0" w:space="0" w:color="auto"/>
            <w:left w:val="none" w:sz="0" w:space="0" w:color="auto"/>
            <w:bottom w:val="none" w:sz="0" w:space="0" w:color="auto"/>
            <w:right w:val="none" w:sz="0" w:space="0" w:color="auto"/>
          </w:divBdr>
        </w:div>
        <w:div w:id="1739786576">
          <w:marLeft w:val="0"/>
          <w:marRight w:val="0"/>
          <w:marTop w:val="0"/>
          <w:marBottom w:val="0"/>
          <w:divBdr>
            <w:top w:val="none" w:sz="0" w:space="0" w:color="auto"/>
            <w:left w:val="none" w:sz="0" w:space="0" w:color="auto"/>
            <w:bottom w:val="none" w:sz="0" w:space="0" w:color="auto"/>
            <w:right w:val="none" w:sz="0" w:space="0" w:color="auto"/>
          </w:divBdr>
        </w:div>
      </w:divsChild>
    </w:div>
    <w:div w:id="1943293145">
      <w:bodyDiv w:val="1"/>
      <w:marLeft w:val="0"/>
      <w:marRight w:val="0"/>
      <w:marTop w:val="0"/>
      <w:marBottom w:val="0"/>
      <w:divBdr>
        <w:top w:val="none" w:sz="0" w:space="0" w:color="auto"/>
        <w:left w:val="none" w:sz="0" w:space="0" w:color="auto"/>
        <w:bottom w:val="none" w:sz="0" w:space="0" w:color="auto"/>
        <w:right w:val="none" w:sz="0" w:space="0" w:color="auto"/>
      </w:divBdr>
    </w:div>
    <w:div w:id="1949701182">
      <w:bodyDiv w:val="1"/>
      <w:marLeft w:val="0"/>
      <w:marRight w:val="0"/>
      <w:marTop w:val="0"/>
      <w:marBottom w:val="0"/>
      <w:divBdr>
        <w:top w:val="none" w:sz="0" w:space="0" w:color="auto"/>
        <w:left w:val="none" w:sz="0" w:space="0" w:color="auto"/>
        <w:bottom w:val="none" w:sz="0" w:space="0" w:color="auto"/>
        <w:right w:val="none" w:sz="0" w:space="0" w:color="auto"/>
      </w:divBdr>
    </w:div>
    <w:div w:id="1950620839">
      <w:bodyDiv w:val="1"/>
      <w:marLeft w:val="0"/>
      <w:marRight w:val="0"/>
      <w:marTop w:val="0"/>
      <w:marBottom w:val="0"/>
      <w:divBdr>
        <w:top w:val="none" w:sz="0" w:space="0" w:color="auto"/>
        <w:left w:val="none" w:sz="0" w:space="0" w:color="auto"/>
        <w:bottom w:val="none" w:sz="0" w:space="0" w:color="auto"/>
        <w:right w:val="none" w:sz="0" w:space="0" w:color="auto"/>
      </w:divBdr>
    </w:div>
    <w:div w:id="1950965494">
      <w:bodyDiv w:val="1"/>
      <w:marLeft w:val="0"/>
      <w:marRight w:val="0"/>
      <w:marTop w:val="0"/>
      <w:marBottom w:val="0"/>
      <w:divBdr>
        <w:top w:val="none" w:sz="0" w:space="0" w:color="auto"/>
        <w:left w:val="none" w:sz="0" w:space="0" w:color="auto"/>
        <w:bottom w:val="none" w:sz="0" w:space="0" w:color="auto"/>
        <w:right w:val="none" w:sz="0" w:space="0" w:color="auto"/>
      </w:divBdr>
    </w:div>
    <w:div w:id="1962614311">
      <w:bodyDiv w:val="1"/>
      <w:marLeft w:val="0"/>
      <w:marRight w:val="0"/>
      <w:marTop w:val="0"/>
      <w:marBottom w:val="0"/>
      <w:divBdr>
        <w:top w:val="none" w:sz="0" w:space="0" w:color="auto"/>
        <w:left w:val="none" w:sz="0" w:space="0" w:color="auto"/>
        <w:bottom w:val="none" w:sz="0" w:space="0" w:color="auto"/>
        <w:right w:val="none" w:sz="0" w:space="0" w:color="auto"/>
      </w:divBdr>
    </w:div>
    <w:div w:id="1969244223">
      <w:bodyDiv w:val="1"/>
      <w:marLeft w:val="0"/>
      <w:marRight w:val="0"/>
      <w:marTop w:val="0"/>
      <w:marBottom w:val="0"/>
      <w:divBdr>
        <w:top w:val="none" w:sz="0" w:space="0" w:color="auto"/>
        <w:left w:val="none" w:sz="0" w:space="0" w:color="auto"/>
        <w:bottom w:val="none" w:sz="0" w:space="0" w:color="auto"/>
        <w:right w:val="none" w:sz="0" w:space="0" w:color="auto"/>
      </w:divBdr>
    </w:div>
    <w:div w:id="1977876661">
      <w:bodyDiv w:val="1"/>
      <w:marLeft w:val="0"/>
      <w:marRight w:val="0"/>
      <w:marTop w:val="0"/>
      <w:marBottom w:val="0"/>
      <w:divBdr>
        <w:top w:val="none" w:sz="0" w:space="0" w:color="auto"/>
        <w:left w:val="none" w:sz="0" w:space="0" w:color="auto"/>
        <w:bottom w:val="none" w:sz="0" w:space="0" w:color="auto"/>
        <w:right w:val="none" w:sz="0" w:space="0" w:color="auto"/>
      </w:divBdr>
    </w:div>
    <w:div w:id="1992981151">
      <w:bodyDiv w:val="1"/>
      <w:marLeft w:val="0"/>
      <w:marRight w:val="0"/>
      <w:marTop w:val="0"/>
      <w:marBottom w:val="0"/>
      <w:divBdr>
        <w:top w:val="none" w:sz="0" w:space="0" w:color="auto"/>
        <w:left w:val="none" w:sz="0" w:space="0" w:color="auto"/>
        <w:bottom w:val="none" w:sz="0" w:space="0" w:color="auto"/>
        <w:right w:val="none" w:sz="0" w:space="0" w:color="auto"/>
      </w:divBdr>
    </w:div>
    <w:div w:id="2005472707">
      <w:bodyDiv w:val="1"/>
      <w:marLeft w:val="0"/>
      <w:marRight w:val="0"/>
      <w:marTop w:val="0"/>
      <w:marBottom w:val="0"/>
      <w:divBdr>
        <w:top w:val="none" w:sz="0" w:space="0" w:color="auto"/>
        <w:left w:val="none" w:sz="0" w:space="0" w:color="auto"/>
        <w:bottom w:val="none" w:sz="0" w:space="0" w:color="auto"/>
        <w:right w:val="none" w:sz="0" w:space="0" w:color="auto"/>
      </w:divBdr>
    </w:div>
    <w:div w:id="2029135963">
      <w:bodyDiv w:val="1"/>
      <w:marLeft w:val="0"/>
      <w:marRight w:val="0"/>
      <w:marTop w:val="0"/>
      <w:marBottom w:val="0"/>
      <w:divBdr>
        <w:top w:val="none" w:sz="0" w:space="0" w:color="auto"/>
        <w:left w:val="none" w:sz="0" w:space="0" w:color="auto"/>
        <w:bottom w:val="none" w:sz="0" w:space="0" w:color="auto"/>
        <w:right w:val="none" w:sz="0" w:space="0" w:color="auto"/>
      </w:divBdr>
    </w:div>
    <w:div w:id="2059815289">
      <w:bodyDiv w:val="1"/>
      <w:marLeft w:val="0"/>
      <w:marRight w:val="0"/>
      <w:marTop w:val="0"/>
      <w:marBottom w:val="0"/>
      <w:divBdr>
        <w:top w:val="none" w:sz="0" w:space="0" w:color="auto"/>
        <w:left w:val="none" w:sz="0" w:space="0" w:color="auto"/>
        <w:bottom w:val="none" w:sz="0" w:space="0" w:color="auto"/>
        <w:right w:val="none" w:sz="0" w:space="0" w:color="auto"/>
      </w:divBdr>
    </w:div>
    <w:div w:id="2088920928">
      <w:bodyDiv w:val="1"/>
      <w:marLeft w:val="0"/>
      <w:marRight w:val="0"/>
      <w:marTop w:val="0"/>
      <w:marBottom w:val="0"/>
      <w:divBdr>
        <w:top w:val="none" w:sz="0" w:space="0" w:color="auto"/>
        <w:left w:val="none" w:sz="0" w:space="0" w:color="auto"/>
        <w:bottom w:val="none" w:sz="0" w:space="0" w:color="auto"/>
        <w:right w:val="none" w:sz="0" w:space="0" w:color="auto"/>
      </w:divBdr>
    </w:div>
    <w:div w:id="2094619211">
      <w:bodyDiv w:val="1"/>
      <w:marLeft w:val="0"/>
      <w:marRight w:val="0"/>
      <w:marTop w:val="0"/>
      <w:marBottom w:val="0"/>
      <w:divBdr>
        <w:top w:val="none" w:sz="0" w:space="0" w:color="auto"/>
        <w:left w:val="none" w:sz="0" w:space="0" w:color="auto"/>
        <w:bottom w:val="none" w:sz="0" w:space="0" w:color="auto"/>
        <w:right w:val="none" w:sz="0" w:space="0" w:color="auto"/>
      </w:divBdr>
    </w:div>
    <w:div w:id="2102143967">
      <w:bodyDiv w:val="1"/>
      <w:marLeft w:val="0"/>
      <w:marRight w:val="0"/>
      <w:marTop w:val="0"/>
      <w:marBottom w:val="0"/>
      <w:divBdr>
        <w:top w:val="none" w:sz="0" w:space="0" w:color="auto"/>
        <w:left w:val="none" w:sz="0" w:space="0" w:color="auto"/>
        <w:bottom w:val="none" w:sz="0" w:space="0" w:color="auto"/>
        <w:right w:val="none" w:sz="0" w:space="0" w:color="auto"/>
      </w:divBdr>
    </w:div>
    <w:div w:id="2114208211">
      <w:bodyDiv w:val="1"/>
      <w:marLeft w:val="0"/>
      <w:marRight w:val="0"/>
      <w:marTop w:val="0"/>
      <w:marBottom w:val="0"/>
      <w:divBdr>
        <w:top w:val="none" w:sz="0" w:space="0" w:color="auto"/>
        <w:left w:val="none" w:sz="0" w:space="0" w:color="auto"/>
        <w:bottom w:val="none" w:sz="0" w:space="0" w:color="auto"/>
        <w:right w:val="none" w:sz="0" w:space="0" w:color="auto"/>
      </w:divBdr>
    </w:div>
    <w:div w:id="2132046703">
      <w:bodyDiv w:val="1"/>
      <w:marLeft w:val="0"/>
      <w:marRight w:val="0"/>
      <w:marTop w:val="0"/>
      <w:marBottom w:val="0"/>
      <w:divBdr>
        <w:top w:val="none" w:sz="0" w:space="0" w:color="auto"/>
        <w:left w:val="none" w:sz="0" w:space="0" w:color="auto"/>
        <w:bottom w:val="none" w:sz="0" w:space="0" w:color="auto"/>
        <w:right w:val="none" w:sz="0" w:space="0" w:color="auto"/>
      </w:divBdr>
    </w:div>
    <w:div w:id="2139759324">
      <w:bodyDiv w:val="1"/>
      <w:marLeft w:val="0"/>
      <w:marRight w:val="0"/>
      <w:marTop w:val="0"/>
      <w:marBottom w:val="0"/>
      <w:divBdr>
        <w:top w:val="none" w:sz="0" w:space="0" w:color="auto"/>
        <w:left w:val="none" w:sz="0" w:space="0" w:color="auto"/>
        <w:bottom w:val="none" w:sz="0" w:space="0" w:color="auto"/>
        <w:right w:val="none" w:sz="0" w:space="0" w:color="auto"/>
      </w:divBdr>
    </w:div>
    <w:div w:id="214121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www.iso.org/iso/catalogue_detail?csnumber=38381%20" TargetMode="External"/><Relationship Id="rId39" Type="http://schemas.openxmlformats.org/officeDocument/2006/relationships/hyperlink" Target="https://www.wastelevy.govt.nz/Clients/Home.aspx?cryp=dLP7N+euKmNJvBLst78M4jhAXfbDA6il56qg2epQGQI7+SDaiSfI/hAFUb5zT96y" TargetMode="External"/><Relationship Id="rId21" Type="http://schemas.openxmlformats.org/officeDocument/2006/relationships/hyperlink" Target="http://www.ghgprotocol.org/" TargetMode="External"/><Relationship Id="rId34" Type="http://schemas.openxmlformats.org/officeDocument/2006/relationships/hyperlink" Target="https://www.wastelevy.govt.nz/Clients/Home.aspx?cryp=7N778wqVRR3g0yYbKPi/CCcOI4MU1CpzMt8FgDlR40CYQUOkdC06lCAtiU3Kf52n" TargetMode="External"/><Relationship Id="rId42" Type="http://schemas.openxmlformats.org/officeDocument/2006/relationships/hyperlink" Target="https://www.wastelevy.govt.nz/Clients/Home.aspx?cryp=WhRk41w0QE4LhB7W+WaTc6NHgEs8notSDVQ+sccenvgFGSTNUdmPccnrKQTftBDO" TargetMode="External"/><Relationship Id="rId47" Type="http://schemas.openxmlformats.org/officeDocument/2006/relationships/hyperlink" Target="https://www.wastelevy.govt.nz/Clients/Home.aspx?cryp=+V1ytk7JxhbsRTun/Rf49EtMPBDkZVRGSadjyrJdO/BCkGT+1IrYFmaaaf3cp4IH" TargetMode="External"/><Relationship Id="rId50" Type="http://schemas.openxmlformats.org/officeDocument/2006/relationships/hyperlink" Target="https://www.wastelevy.govt.nz/Clients/Home.aspx?cryp=2UyI7Nbmch7rYteTESP6dCECFbTEJjjxfX/NustY+kKcp6aNe0bnyfL62y25H/f2" TargetMode="External"/><Relationship Id="rId55"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4.xml"/><Relationship Id="rId25" Type="http://schemas.openxmlformats.org/officeDocument/2006/relationships/hyperlink" Target="http://www.ipcc.ch/publications_and_data/ar4/wg1/en/contents.html" TargetMode="External"/><Relationship Id="rId33" Type="http://schemas.openxmlformats.org/officeDocument/2006/relationships/hyperlink" Target="https://www.wastelevy.govt.nz/Clients/Home.aspx?cryp=WlD+fP3O8B8dqiZac1wo42NE2In1bREHEv+FBzhDjQ7WehSktRm+UZd+ZJblQUsN" TargetMode="External"/><Relationship Id="rId38" Type="http://schemas.openxmlformats.org/officeDocument/2006/relationships/hyperlink" Target="https://www.wastelevy.govt.nz/Clients/Home.aspx?cryp=J0YT0H/2RmQyvuz4JlOlwypEP/wjUw3l9YDmfa8OeOwSz/ZD+X3qzVBY11Vwx8be" TargetMode="External"/><Relationship Id="rId46" Type="http://schemas.openxmlformats.org/officeDocument/2006/relationships/hyperlink" Target="https://www.wastelevy.govt.nz/Clients/Home.aspx?cryp=CQktAbFT0gySpLsz1vB8HpbLum1Ekj5wC0dFjEZIv3LTh5dXm+8B6RqqjNx4ztRj"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www.ghgprotocol.org/standards/corporate-standard" TargetMode="External"/><Relationship Id="rId29" Type="http://schemas.openxmlformats.org/officeDocument/2006/relationships/hyperlink" Target="http://www.ghgprotocol.org/calculation-tools/all-tools" TargetMode="External"/><Relationship Id="rId41" Type="http://schemas.openxmlformats.org/officeDocument/2006/relationships/hyperlink" Target="https://www.wastelevy.govt.nz/Clients/Home.aspx?cryp=+zJBtR0v8ckqkKght0/Y0RJABo1dCQw6hoIkNpRhU30T6kLCn7ee1cF/czbShL4E" TargetMode="External"/><Relationship Id="rId54"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fe.govt.nz" TargetMode="External"/><Relationship Id="rId24" Type="http://schemas.openxmlformats.org/officeDocument/2006/relationships/hyperlink" Target="http://www.ipcc-nggip.iges.or.jp/public/2006gl/index.html" TargetMode="External"/><Relationship Id="rId32" Type="http://schemas.openxmlformats.org/officeDocument/2006/relationships/hyperlink" Target="https://www.wastelevy.govt.nz/Clients/Home.aspx?cryp=IvLfE69faCWkid+PBE474hmEJMd3Gn76L3HBbSfCY4OLhKip76LojLX3att36EtH" TargetMode="External"/><Relationship Id="rId37" Type="http://schemas.openxmlformats.org/officeDocument/2006/relationships/hyperlink" Target="https://www.wastelevy.govt.nz/Clients/Home.aspx?cryp=cuhoOHIRuVJZQ/fgxzUt5sXmIEklsT33jwbQPMES55GZFT+ePqD+498t+gZ/zT5U" TargetMode="External"/><Relationship Id="rId40" Type="http://schemas.openxmlformats.org/officeDocument/2006/relationships/hyperlink" Target="https://www.wastelevy.govt.nz/Clients/Home.aspx?cryp=m81YOKBkqcJ6ozyAw7BQz5n9I4Nlez1VQjB/4I4kwO+D9O51Slh9i0UV0Tj90Ifp" TargetMode="External"/><Relationship Id="rId45" Type="http://schemas.openxmlformats.org/officeDocument/2006/relationships/hyperlink" Target="https://www.wastelevy.govt.nz/Clients/Home.aspx?cryp=qZqIiGPBR2CtjPrqU65msbM09nxWsj2Ii1XOJiL+6vONONztVmeywbARlW1nAbq5" TargetMode="External"/><Relationship Id="rId53" Type="http://schemas.openxmlformats.org/officeDocument/2006/relationships/header" Target="header5.xml"/><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www.ukconversionfactorscarbonsmart.co.uk/" TargetMode="External"/><Relationship Id="rId28" Type="http://schemas.openxmlformats.org/officeDocument/2006/relationships/hyperlink" Target="http://www.ghgprotocol.org/standards" TargetMode="External"/><Relationship Id="rId36" Type="http://schemas.openxmlformats.org/officeDocument/2006/relationships/hyperlink" Target="https://www.wastelevy.govt.nz/Clients/Home.aspx?cryp=xzzKXnMOKvT/ZTc+pFmHEUbX7XXSvoWc962Q3gImCAWrTKL05YEUgCu8EZ6gAgu8" TargetMode="External"/><Relationship Id="rId49" Type="http://schemas.openxmlformats.org/officeDocument/2006/relationships/hyperlink" Target="https://www.wastelevy.govt.nz/Clients/Home.aspx?cryp=Gi5pGg9AGLcg0ewkBY9CBpXQ0Mpwdhtz9AYfGvPS+dWFi7MBlhoxLd778ORbYMNG" TargetMode="External"/><Relationship Id="rId57"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ghgprotocol.org/" TargetMode="External"/><Relationship Id="rId31" Type="http://schemas.openxmlformats.org/officeDocument/2006/relationships/hyperlink" Target="https://www.wastelevy.govt.nz/Clients/Home.aspx?cryp=vuv5HvGYkElJOU/Rb5uzydkzz90IZ6J1fLH1H3/fj0zt+I5McFNhrRpaePHhCtmD" TargetMode="External"/><Relationship Id="rId44" Type="http://schemas.openxmlformats.org/officeDocument/2006/relationships/hyperlink" Target="https://www.wastelevy.govt.nz/Clients/Home.aspx?cryp=k0vk6KpZD1GFO8BDFr4IMKlygUSDgUjW+KYjBqGI++2Ov5Jz5E+dI3WgHeiDH1oW" TargetMode="External"/><Relationship Id="rId52" Type="http://schemas.openxmlformats.org/officeDocument/2006/relationships/hyperlink" Target="https://www.wastelevy.govt.nz/Clients/Home.aspx?cryp=M8WoZnEau65WCEK5AgQv/9tZqzUfOPD0oraccdzQGozMG+1xpM4UhZxENe3Vu07Z"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http://www.icao.int/ENVIRONMENTAL-PROTECTION/CarbonOffset/Pages/default.aspx" TargetMode="External"/><Relationship Id="rId27" Type="http://schemas.openxmlformats.org/officeDocument/2006/relationships/hyperlink" Target="http://atrf.info/papers/2015/files/ATRF2015_Resubmission_9.pdf" TargetMode="External"/><Relationship Id="rId30" Type="http://schemas.openxmlformats.org/officeDocument/2006/relationships/hyperlink" Target="https://www.wastelevy.govt.nz/Clients/Home.aspx?cryp=cOcQnZ1TPVCBVfKVzaqP6oOw3RgZrDpaI7T5IW5MHOmRFJY/cCMC5RxiiQb5VpzA" TargetMode="External"/><Relationship Id="rId35" Type="http://schemas.openxmlformats.org/officeDocument/2006/relationships/hyperlink" Target="https://www.wastelevy.govt.nz/Clients/Home.aspx?cryp=A3bNxPB+IAYDdfo+cUGf/3zDrFPy+864RWx6XDW0MHPniux2RL1pA46rlhpukirn" TargetMode="External"/><Relationship Id="rId43" Type="http://schemas.openxmlformats.org/officeDocument/2006/relationships/hyperlink" Target="https://www.wastelevy.govt.nz/Clients/Home.aspx?cryp=U0BdEC7YDwYJaiMVM6JzYVRysDHlogDI09JDigsz9AZCxLPiTrFVduTrUiRQskc7" TargetMode="External"/><Relationship Id="rId48" Type="http://schemas.openxmlformats.org/officeDocument/2006/relationships/hyperlink" Target="https://www.wastelevy.govt.nz/Clients/Home.aspx?cryp=bcbgkCNu9uNDkf4cDJ0EyWTSrJCy96bMVnyfsaupP0TyxRYnbcupSuzQEN/1GwLT" TargetMode="External"/><Relationship Id="rId56" Type="http://schemas.openxmlformats.org/officeDocument/2006/relationships/footer" Target="footer6.xml"/><Relationship Id="rId8" Type="http://schemas.openxmlformats.org/officeDocument/2006/relationships/endnotes" Target="endnotes.xml"/><Relationship Id="rId51" Type="http://schemas.openxmlformats.org/officeDocument/2006/relationships/hyperlink" Target="https://www.wastelevy.govt.nz/Clients/Home.aspx?cryp=UDFK6H+rNUGeQwenhRnxUk8Lp/vWoZpQvWbZ9ShaXdDlklY25EV75R5GT0004f6Z"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http://www.jas-anz.org/index.php?option=com_content&amp;task=blogcategory&amp;id=44&amp;Itemid=1" TargetMode="External"/><Relationship Id="rId2" Type="http://schemas.openxmlformats.org/officeDocument/2006/relationships/hyperlink" Target="http://www.ghgprotocol.org/standards/product-standard" TargetMode="External"/><Relationship Id="rId1" Type="http://schemas.openxmlformats.org/officeDocument/2006/relationships/hyperlink" Target="https://www.gov.uk/government/collections/government-conversion-factors-for-company-reporting" TargetMode="External"/><Relationship Id="rId5" Type="http://schemas.openxmlformats.org/officeDocument/2006/relationships/hyperlink" Target="http://www.ipcc.ch/pdf/assessment-report/ar4/wg1/ar4-wg1-chapter2.pdf" TargetMode="External"/><Relationship Id="rId4" Type="http://schemas.openxmlformats.org/officeDocument/2006/relationships/hyperlink" Target="http://cdm.unfccc.int/DOE/list/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ne\Application%20Data\Microsoft\Templates\MfE%20template%2022%20Apri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E142FD-60E8-4D93-9D0C-B8BDFEC22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MfE template 22 April</Template>
  <TotalTime>1</TotalTime>
  <Pages>44</Pages>
  <Words>13137</Words>
  <Characters>74887</Characters>
  <Application>Microsoft Office Word</Application>
  <DocSecurity>4</DocSecurity>
  <Lines>624</Lines>
  <Paragraphs>175</Paragraphs>
  <ScaleCrop>false</ScaleCrop>
  <HeadingPairs>
    <vt:vector size="2" baseType="variant">
      <vt:variant>
        <vt:lpstr>Title</vt:lpstr>
      </vt:variant>
      <vt:variant>
        <vt:i4>1</vt:i4>
      </vt:variant>
    </vt:vector>
  </HeadingPairs>
  <TitlesOfParts>
    <vt:vector size="1" baseType="lpstr">
      <vt:lpstr>voluntary-greenhouse-gas-reporting-2015-year-final</vt:lpstr>
    </vt:vector>
  </TitlesOfParts>
  <Company>Microsoft</Company>
  <LinksUpToDate>false</LinksUpToDate>
  <CharactersWithSpaces>87849</CharactersWithSpaces>
  <SharedDoc>false</SharedDoc>
  <HLinks>
    <vt:vector size="78" baseType="variant">
      <vt:variant>
        <vt:i4>3866722</vt:i4>
      </vt:variant>
      <vt:variant>
        <vt:i4>174</vt:i4>
      </vt:variant>
      <vt:variant>
        <vt:i4>0</vt:i4>
      </vt:variant>
      <vt:variant>
        <vt:i4>5</vt:i4>
      </vt:variant>
      <vt:variant>
        <vt:lpwstr>http://www.ghgprotocol.org/calculation-tools/all-tools</vt:lpwstr>
      </vt:variant>
      <vt:variant>
        <vt:lpwstr/>
      </vt:variant>
      <vt:variant>
        <vt:i4>6094923</vt:i4>
      </vt:variant>
      <vt:variant>
        <vt:i4>171</vt:i4>
      </vt:variant>
      <vt:variant>
        <vt:i4>0</vt:i4>
      </vt:variant>
      <vt:variant>
        <vt:i4>5</vt:i4>
      </vt:variant>
      <vt:variant>
        <vt:lpwstr>http://www.ghgprotocol.org/standards</vt:lpwstr>
      </vt:variant>
      <vt:variant>
        <vt:lpwstr/>
      </vt:variant>
      <vt:variant>
        <vt:i4>5111834</vt:i4>
      </vt:variant>
      <vt:variant>
        <vt:i4>165</vt:i4>
      </vt:variant>
      <vt:variant>
        <vt:i4>0</vt:i4>
      </vt:variant>
      <vt:variant>
        <vt:i4>5</vt:i4>
      </vt:variant>
      <vt:variant>
        <vt:lpwstr>http://www.ipcc.ch/publications_and_data/ar4/wg1/en/contents.html</vt:lpwstr>
      </vt:variant>
      <vt:variant>
        <vt:lpwstr/>
      </vt:variant>
      <vt:variant>
        <vt:i4>1704026</vt:i4>
      </vt:variant>
      <vt:variant>
        <vt:i4>162</vt:i4>
      </vt:variant>
      <vt:variant>
        <vt:i4>0</vt:i4>
      </vt:variant>
      <vt:variant>
        <vt:i4>5</vt:i4>
      </vt:variant>
      <vt:variant>
        <vt:lpwstr>http://www.ipcc-nggip.iges.or.jp/public/gl/invs1.htm</vt:lpwstr>
      </vt:variant>
      <vt:variant>
        <vt:lpwstr/>
      </vt:variant>
      <vt:variant>
        <vt:i4>2752635</vt:i4>
      </vt:variant>
      <vt:variant>
        <vt:i4>153</vt:i4>
      </vt:variant>
      <vt:variant>
        <vt:i4>0</vt:i4>
      </vt:variant>
      <vt:variant>
        <vt:i4>5</vt:i4>
      </vt:variant>
      <vt:variant>
        <vt:lpwstr>http://www.ghgprotocol.org/</vt:lpwstr>
      </vt:variant>
      <vt:variant>
        <vt:lpwstr/>
      </vt:variant>
      <vt:variant>
        <vt:i4>6094923</vt:i4>
      </vt:variant>
      <vt:variant>
        <vt:i4>150</vt:i4>
      </vt:variant>
      <vt:variant>
        <vt:i4>0</vt:i4>
      </vt:variant>
      <vt:variant>
        <vt:i4>5</vt:i4>
      </vt:variant>
      <vt:variant>
        <vt:lpwstr>http://www.ghgprotocol.org/standards</vt:lpwstr>
      </vt:variant>
      <vt:variant>
        <vt:lpwstr/>
      </vt:variant>
      <vt:variant>
        <vt:i4>2752635</vt:i4>
      </vt:variant>
      <vt:variant>
        <vt:i4>147</vt:i4>
      </vt:variant>
      <vt:variant>
        <vt:i4>0</vt:i4>
      </vt:variant>
      <vt:variant>
        <vt:i4>5</vt:i4>
      </vt:variant>
      <vt:variant>
        <vt:lpwstr>http://www.ghgprotocol.org/</vt:lpwstr>
      </vt:variant>
      <vt:variant>
        <vt:lpwstr/>
      </vt:variant>
      <vt:variant>
        <vt:i4>6684781</vt:i4>
      </vt:variant>
      <vt:variant>
        <vt:i4>0</vt:i4>
      </vt:variant>
      <vt:variant>
        <vt:i4>0</vt:i4>
      </vt:variant>
      <vt:variant>
        <vt:i4>5</vt:i4>
      </vt:variant>
      <vt:variant>
        <vt:lpwstr>http://www.mfe.govt.nz/</vt:lpwstr>
      </vt:variant>
      <vt:variant>
        <vt:lpwstr/>
      </vt:variant>
      <vt:variant>
        <vt:i4>917525</vt:i4>
      </vt:variant>
      <vt:variant>
        <vt:i4>12</vt:i4>
      </vt:variant>
      <vt:variant>
        <vt:i4>0</vt:i4>
      </vt:variant>
      <vt:variant>
        <vt:i4>5</vt:i4>
      </vt:variant>
      <vt:variant>
        <vt:lpwstr>../../../SmithM/Local Settings/Temporary Internet Files/Content.Outlook/WB61XZKP/www.ipcc.ch</vt:lpwstr>
      </vt:variant>
      <vt:variant>
        <vt:lpwstr/>
      </vt:variant>
      <vt:variant>
        <vt:i4>3276836</vt:i4>
      </vt:variant>
      <vt:variant>
        <vt:i4>9</vt:i4>
      </vt:variant>
      <vt:variant>
        <vt:i4>0</vt:i4>
      </vt:variant>
      <vt:variant>
        <vt:i4>5</vt:i4>
      </vt:variant>
      <vt:variant>
        <vt:lpwstr>http://www.med.govt.nz/templates/MultipageDocumentTOC____33805.aspx</vt:lpwstr>
      </vt:variant>
      <vt:variant>
        <vt:lpwstr/>
      </vt:variant>
      <vt:variant>
        <vt:i4>917584</vt:i4>
      </vt:variant>
      <vt:variant>
        <vt:i4>6</vt:i4>
      </vt:variant>
      <vt:variant>
        <vt:i4>0</vt:i4>
      </vt:variant>
      <vt:variant>
        <vt:i4>5</vt:i4>
      </vt:variant>
      <vt:variant>
        <vt:lpwstr>http://www.ipcc.ch/pdf/assessment-report/ar4/wg1/ar4-wg1-chapter2.pdf</vt:lpwstr>
      </vt:variant>
      <vt:variant>
        <vt:lpwstr/>
      </vt:variant>
      <vt:variant>
        <vt:i4>1507408</vt:i4>
      </vt:variant>
      <vt:variant>
        <vt:i4>3</vt:i4>
      </vt:variant>
      <vt:variant>
        <vt:i4>0</vt:i4>
      </vt:variant>
      <vt:variant>
        <vt:i4>5</vt:i4>
      </vt:variant>
      <vt:variant>
        <vt:lpwstr>http://cdm.unfccc.int/DOE/list/index.html</vt:lpwstr>
      </vt:variant>
      <vt:variant>
        <vt:lpwstr/>
      </vt:variant>
      <vt:variant>
        <vt:i4>6750221</vt:i4>
      </vt:variant>
      <vt:variant>
        <vt:i4>0</vt:i4>
      </vt:variant>
      <vt:variant>
        <vt:i4>0</vt:i4>
      </vt:variant>
      <vt:variant>
        <vt:i4>5</vt:i4>
      </vt:variant>
      <vt:variant>
        <vt:lpwstr>http://www.jas-anz.org/index.php?option=com_content&amp;task=blogcategory&amp;id=44&amp;Itemid=1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voluntary-greenhouse-gas-reporting-2015-year-final</dc:title>
  <dc:subject>Source:</dc:subject>
  <dc:creator>Jeanette Manson</dc:creator>
  <cp:lastModifiedBy>Zinal Bhadra</cp:lastModifiedBy>
  <cp:revision>2</cp:revision>
  <cp:lastPrinted>2016-12-15T02:16:00Z</cp:lastPrinted>
  <dcterms:created xsi:type="dcterms:W3CDTF">2017-01-11T20:40:00Z</dcterms:created>
  <dcterms:modified xsi:type="dcterms:W3CDTF">2017-01-11T20:40:00Z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me">
    <vt:lpwstr>000001684850</vt:lpwstr>
  </property>
  <property fmtid="{D5CDD505-2E9C-101B-9397-08002B2CF9AE}" pid="3" name="DisplayName">
    <vt:lpwstr>04 - Climate Change</vt:lpwstr>
  </property>
  <property fmtid="{D5CDD505-2E9C-101B-9397-08002B2CF9AE}" pid="4" name="Class">
    <vt:lpwstr>CM/CM_PM/CM_PM_Four/CM_PM_Four_Four</vt:lpwstr>
  </property>
  <property fmtid="{D5CDD505-2E9C-101B-9397-08002B2CF9AE}" pid="5" name="ClassComments">
    <vt:lpwstr/>
  </property>
  <property fmtid="{D5CDD505-2E9C-101B-9397-08002B2CF9AE}" pid="6" name="AddedBy">
    <vt:lpwstr>MansonJ</vt:lpwstr>
  </property>
  <property fmtid="{D5CDD505-2E9C-101B-9397-08002B2CF9AE}" pid="7" name="DateAdded">
    <vt:filetime>2015-04-07T00:46:22Z</vt:filetime>
  </property>
  <property fmtid="{D5CDD505-2E9C-101B-9397-08002B2CF9AE}" pid="8" name="FirstAddedBy">
    <vt:lpwstr>MansonJ</vt:lpwstr>
  </property>
  <property fmtid="{D5CDD505-2E9C-101B-9397-08002B2CF9AE}" pid="9" name="DateFirstAdded">
    <vt:filetime>2015-04-07T00:46:22Z</vt:filetime>
  </property>
  <property fmtid="{D5CDD505-2E9C-101B-9397-08002B2CF9AE}" pid="10" name="LastModifiedBy">
    <vt:lpwstr>MansonJ</vt:lpwstr>
  </property>
  <property fmtid="{D5CDD505-2E9C-101B-9397-08002B2CF9AE}" pid="11" name="DateLastModified">
    <vt:filetime>2015-04-07T00:46:22Z</vt:filetime>
  </property>
  <property fmtid="{D5CDD505-2E9C-101B-9397-08002B2CF9AE}" pid="12" name="IsCheckedOut">
    <vt:bool>true</vt:bool>
  </property>
  <property fmtid="{D5CDD505-2E9C-101B-9397-08002B2CF9AE}" pid="13" name="CheckedOutBy">
    <vt:lpwstr>MansonJ</vt:lpwstr>
  </property>
  <property fmtid="{D5CDD505-2E9C-101B-9397-08002B2CF9AE}" pid="14" name="CheckOutComment">
    <vt:lpwstr/>
  </property>
  <property fmtid="{D5CDD505-2E9C-101B-9397-08002B2CF9AE}" pid="15" name="CheckOutDate">
    <vt:filetime>2015-04-09T21:59:49Z</vt:filetime>
  </property>
  <property fmtid="{D5CDD505-2E9C-101B-9397-08002B2CF9AE}" pid="16" name="VersionStatus">
    <vt:i4>3</vt:i4>
  </property>
  <property fmtid="{D5CDD505-2E9C-101B-9397-08002B2CF9AE}" pid="17" name="ProtectMode">
    <vt:i4>4194336</vt:i4>
  </property>
  <property fmtid="{D5CDD505-2E9C-101B-9397-08002B2CF9AE}" pid="18" name="IndexMode">
    <vt:i4>0</vt:i4>
  </property>
  <property fmtid="{D5CDD505-2E9C-101B-9397-08002B2CF9AE}" pid="19" name="MaxVersionsOnline">
    <vt:i4>0</vt:i4>
  </property>
  <property fmtid="{D5CDD505-2E9C-101B-9397-08002B2CF9AE}" pid="20" name="Version">
    <vt:lpwstr>1.0</vt:lpwstr>
  </property>
  <property fmtid="{D5CDD505-2E9C-101B-9397-08002B2CF9AE}" pid="21" name="Versions">
    <vt:lpwstr>1.0</vt:lpwstr>
  </property>
  <property fmtid="{D5CDD505-2E9C-101B-9397-08002B2CF9AE}" pid="22" name="ContentVersion">
    <vt:lpwstr>1.0</vt:lpwstr>
  </property>
  <property fmtid="{D5CDD505-2E9C-101B-9397-08002B2CF9AE}" pid="23" name="ContentType">
    <vt:i4>1</vt:i4>
  </property>
  <property fmtid="{D5CDD505-2E9C-101B-9397-08002B2CF9AE}" pid="24" name="ContentSize">
    <vt:i4>253255</vt:i4>
  </property>
  <property fmtid="{D5CDD505-2E9C-101B-9397-08002B2CF9AE}" pid="25" name="ContentFormats">
    <vt:lpwstr>DOCX</vt:lpwstr>
  </property>
  <property fmtid="{D5CDD505-2E9C-101B-9397-08002B2CF9AE}" pid="26" name="LocaleID">
    <vt:i4>0</vt:i4>
  </property>
  <property fmtid="{D5CDD505-2E9C-101B-9397-08002B2CF9AE}" pid="27" name="RequiredSignatures">
    <vt:lpwstr/>
  </property>
  <property fmtid="{D5CDD505-2E9C-101B-9397-08002B2CF9AE}" pid="28" name="SignaturesRequired">
    <vt:lpwstr/>
  </property>
  <property fmtid="{D5CDD505-2E9C-101B-9397-08002B2CF9AE}" pid="29" name="Signatures">
    <vt:lpwstr/>
  </property>
  <property fmtid="{D5CDD505-2E9C-101B-9397-08002B2CF9AE}" pid="30" name="DateAvailable">
    <vt:filetime>1899-12-29T12:00:00Z</vt:filetime>
  </property>
  <property fmtid="{D5CDD505-2E9C-101B-9397-08002B2CF9AE}" pid="31" name="DateExpires">
    <vt:filetime>1899-12-29T12:00:00Z</vt:filetime>
  </property>
  <property fmtid="{D5CDD505-2E9C-101B-9397-08002B2CF9AE}" pid="32" name="RelativeDateExpires">
    <vt:lpwstr>12:00:00 a.m.</vt:lpwstr>
  </property>
  <property fmtid="{D5CDD505-2E9C-101B-9397-08002B2CF9AE}" pid="33" name="Parents">
    <vt:lpwstr>c72ca3f8e6eb9944beffcce79271a25c</vt:lpwstr>
  </property>
  <property fmtid="{D5CDD505-2E9C-101B-9397-08002B2CF9AE}" pid="34" name="Children">
    <vt:lpwstr/>
  </property>
  <property fmtid="{D5CDD505-2E9C-101B-9397-08002B2CF9AE}" pid="35" name="Master">
    <vt:lpwstr/>
  </property>
  <property fmtid="{D5CDD505-2E9C-101B-9397-08002B2CF9AE}" pid="36" name="Slaves">
    <vt:lpwstr/>
  </property>
  <property fmtid="{D5CDD505-2E9C-101B-9397-08002B2CF9AE}" pid="37" name="PublishPaths">
    <vt:lpwstr/>
  </property>
  <property fmtid="{D5CDD505-2E9C-101B-9397-08002B2CF9AE}" pid="38" name="SeeAlso">
    <vt:lpwstr/>
  </property>
  <property fmtid="{D5CDD505-2E9C-101B-9397-08002B2CF9AE}" pid="39" name="Folders">
    <vt:lpwstr/>
  </property>
  <property fmtid="{D5CDD505-2E9C-101B-9397-08002B2CF9AE}" pid="40" name="MetaPath">
    <vt:lpwstr>\CM\CM_PM\CM_PM_Four\CM_PM_Four_Four</vt:lpwstr>
  </property>
  <property fmtid="{D5CDD505-2E9C-101B-9397-08002B2CF9AE}" pid="41" name="ContentPath">
    <vt:lpwstr>\CM\CM_PM\CM_PM_Four\CM_PM_Four_Four</vt:lpwstr>
  </property>
  <property fmtid="{D5CDD505-2E9C-101B-9397-08002B2CF9AE}" pid="42" name="ArchiveMetaPath">
    <vt:lpwstr>\CM\CM_PM\CM_PM_Four\CM_PM_Four_Four</vt:lpwstr>
  </property>
  <property fmtid="{D5CDD505-2E9C-101B-9397-08002B2CF9AE}" pid="43" name="ArchiveContentPath">
    <vt:lpwstr>\CM\CM_PM\CM_PM_Four\CM_PM_Four_Four</vt:lpwstr>
  </property>
  <property fmtid="{D5CDD505-2E9C-101B-9397-08002B2CF9AE}" pid="44" name="ContentVPath">
    <vt:lpwstr>/CM/CM_PM/CM_PM_Four/CM_PM_Four_Four</vt:lpwstr>
  </property>
  <property fmtid="{D5CDD505-2E9C-101B-9397-08002B2CF9AE}" pid="45" name="Icon">
    <vt:lpwstr/>
  </property>
  <property fmtid="{D5CDD505-2E9C-101B-9397-08002B2CF9AE}" pid="46" name="DefaultContent">
    <vt:lpwstr/>
  </property>
  <property fmtid="{D5CDD505-2E9C-101B-9397-08002B2CF9AE}" pid="47" name="DefaultFormat">
    <vt:lpwstr>docx</vt:lpwstr>
  </property>
  <property fmtid="{D5CDD505-2E9C-101B-9397-08002B2CF9AE}" pid="48" name="DefaultForm">
    <vt:lpwstr/>
  </property>
  <property fmtid="{D5CDD505-2E9C-101B-9397-08002B2CF9AE}" pid="49" name="DefaultUIHandler">
    <vt:lpwstr/>
  </property>
  <property fmtid="{D5CDD505-2E9C-101B-9397-08002B2CF9AE}" pid="50" name="Abstract">
    <vt:bool>false</vt:bool>
  </property>
  <property fmtid="{D5CDD505-2E9C-101B-9397-08002B2CF9AE}" pid="51" name="PossibleSuperiors">
    <vt:lpwstr>CM_PM_Four</vt:lpwstr>
  </property>
  <property fmtid="{D5CDD505-2E9C-101B-9397-08002B2CF9AE}" pid="52" name="HelpFileContext">
    <vt:i4>0</vt:i4>
  </property>
  <property fmtid="{D5CDD505-2E9C-101B-9397-08002B2CF9AE}" pid="53" name="HelpFileName">
    <vt:lpwstr/>
  </property>
  <property fmtid="{D5CDD505-2E9C-101B-9397-08002B2CF9AE}" pid="54" name="AMP__OriginalAuthor">
    <vt:lpwstr/>
  </property>
  <property fmtid="{D5CDD505-2E9C-101B-9397-08002B2CF9AE}" pid="55" name="Description">
    <vt:lpwstr/>
  </property>
  <property fmtid="{D5CDD505-2E9C-101B-9397-08002B2CF9AE}" pid="56" name="Doctype">
    <vt:lpwstr>Publication</vt:lpwstr>
  </property>
  <property fmtid="{D5CDD505-2E9C-101B-9397-08002B2CF9AE}" pid="57" name="To">
    <vt:lpwstr/>
  </property>
  <property fmtid="{D5CDD505-2E9C-101B-9397-08002B2CF9AE}" pid="58" name="From">
    <vt:lpwstr/>
  </property>
  <property fmtid="{D5CDD505-2E9C-101B-9397-08002B2CF9AE}" pid="59" name="Sent_Received">
    <vt:filetime>1899-12-29T12:00:00Z</vt:filetime>
  </property>
  <property fmtid="{D5CDD505-2E9C-101B-9397-08002B2CF9AE}" pid="60" name="Status">
    <vt:lpwstr>Final</vt:lpwstr>
  </property>
  <property fmtid="{D5CDD505-2E9C-101B-9397-08002B2CF9AE}" pid="61" name="ContractNumber">
    <vt:lpwstr/>
  </property>
  <property fmtid="{D5CDD505-2E9C-101B-9397-08002B2CF9AE}" pid="62" name="Year">
    <vt:lpwstr>2014 - 2015</vt:lpwstr>
  </property>
  <property fmtid="{D5CDD505-2E9C-101B-9397-08002B2CF9AE}" pid="63" name="adspath">
    <vt:lpwstr>Amphora://EDRMS1/CM/CM_PM/CM_PM_Four/CM_PM_Four_Four/000001684850</vt:lpwstr>
  </property>
</Properties>
</file>